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E569" w14:textId="77777777" w:rsidR="0039525E" w:rsidRDefault="00320985">
      <w:pPr>
        <w:spacing w:after="0" w:line="240" w:lineRule="auto"/>
        <w:jc w:val="center"/>
        <w:rPr>
          <w:rFonts w:ascii="EB Garamond" w:eastAsia="EB Garamond" w:hAnsi="EB Garamond" w:cs="EB Garamond"/>
          <w:b/>
          <w:bCs/>
          <w:sz w:val="26"/>
          <w:szCs w:val="26"/>
        </w:rPr>
      </w:pPr>
      <w:r>
        <w:rPr>
          <w:noProof/>
        </w:rPr>
        <w:drawing>
          <wp:anchor distT="0" distB="0" distL="114300" distR="114300" simplePos="0" relativeHeight="251658240" behindDoc="0" locked="0" layoutInCell="1" hidden="0" allowOverlap="1" wp14:anchorId="6706E9A9" wp14:editId="0F3EE079">
            <wp:simplePos x="0" y="0"/>
            <wp:positionH relativeFrom="margin">
              <wp:posOffset>4936490</wp:posOffset>
            </wp:positionH>
            <wp:positionV relativeFrom="margin">
              <wp:posOffset>-301622</wp:posOffset>
            </wp:positionV>
            <wp:extent cx="878840" cy="8528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78840" cy="85280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A3640E5" wp14:editId="0E648136">
                <wp:simplePos x="0" y="0"/>
                <wp:positionH relativeFrom="column">
                  <wp:posOffset>114300</wp:posOffset>
                </wp:positionH>
                <wp:positionV relativeFrom="paragraph">
                  <wp:posOffset>-266697</wp:posOffset>
                </wp:positionV>
                <wp:extent cx="4817110" cy="808355"/>
                <wp:effectExtent l="0" t="0" r="0" b="0"/>
                <wp:wrapNone/>
                <wp:docPr id="1" name="Rectangle 1"/>
                <wp:cNvGraphicFramePr/>
                <a:graphic xmlns:a="http://schemas.openxmlformats.org/drawingml/2006/main">
                  <a:graphicData uri="http://schemas.microsoft.com/office/word/2010/wordprocessingShape">
                    <wps:wsp>
                      <wps:cNvSpPr>
                        <a:extLst>
                          <a:ext uri="sm"/>
                        </a:extLst>
                      </wps:cNvSpPr>
                      <wps:spPr>
                        <a:xfrm>
                          <a:off x="0" y="0"/>
                          <a:ext cx="4817110" cy="808355"/>
                        </a:xfrm>
                        <a:prstGeom prst="rect">
                          <a:avLst/>
                        </a:prstGeom>
                        <a:solidFill>
                          <a:srgbClr val="FFFFFF"/>
                        </a:solidFill>
                        <a:ln>
                          <a:noFill/>
                        </a:ln>
                      </wps:spPr>
                      <wps:txbx>
                        <w:txbxContent>
                          <w:p w14:paraId="40C1B370" w14:textId="77777777" w:rsidR="001F62C6" w:rsidRDefault="00320985">
                            <w:pPr>
                              <w:spacing w:after="0" w:line="240" w:lineRule="auto"/>
                              <w:jc w:val="right"/>
                            </w:pPr>
                            <w:r>
                              <w:rPr>
                                <w:rFonts w:ascii="Cambria" w:eastAsia="Cambria" w:hAnsi="Cambria" w:cs="Cambria"/>
                                <w:b/>
                                <w:i/>
                                <w:color w:val="000000"/>
                                <w:sz w:val="26"/>
                              </w:rPr>
                              <w:t>Southeast Asian Journal of Islamic Education</w:t>
                            </w:r>
                          </w:p>
                          <w:p w14:paraId="620DB105" w14:textId="20EFE497" w:rsidR="001F62C6" w:rsidRDefault="001C3722">
                            <w:pPr>
                              <w:spacing w:after="0" w:line="276" w:lineRule="auto"/>
                              <w:jc w:val="right"/>
                            </w:pPr>
                            <w:r w:rsidRPr="001C3722">
                              <w:rPr>
                                <w:rFonts w:ascii="Cambria" w:eastAsia="Cambria" w:hAnsi="Cambria" w:cs="Cambria"/>
                                <w:i/>
                                <w:color w:val="000000"/>
                                <w:sz w:val="20"/>
                              </w:rPr>
                              <w:t>Volume 09, No. 01, June 2026</w:t>
                            </w:r>
                          </w:p>
                          <w:p w14:paraId="424CE4C8" w14:textId="77777777" w:rsidR="001F62C6" w:rsidRDefault="00320985">
                            <w:pPr>
                              <w:spacing w:after="0" w:line="276" w:lineRule="auto"/>
                              <w:jc w:val="right"/>
                            </w:pPr>
                            <w:r>
                              <w:rPr>
                                <w:rFonts w:ascii="Cambria" w:eastAsia="Cambria" w:hAnsi="Cambria" w:cs="Cambria"/>
                                <w:color w:val="000000"/>
                                <w:sz w:val="20"/>
                              </w:rPr>
                              <w:t>E-ISSN: 2621-5861, P-ISSN: 2621-5845</w:t>
                            </w:r>
                          </w:p>
                          <w:p w14:paraId="1AF1AFF0" w14:textId="377134AF" w:rsidR="001F62C6" w:rsidRPr="007351F5" w:rsidRDefault="007351F5">
                            <w:pPr>
                              <w:jc w:val="right"/>
                            </w:pPr>
                            <w:hyperlink r:id="rId8" w:history="1">
                              <w:r w:rsidRPr="007351F5">
                                <w:rPr>
                                  <w:rStyle w:val="Hyperlink"/>
                                  <w:rFonts w:ascii="Cambria" w:eastAsia="Cambria" w:hAnsi="Cambria" w:cs="Cambria"/>
                                  <w:color w:val="000000" w:themeColor="text1"/>
                                  <w:sz w:val="20"/>
                                  <w:szCs w:val="20"/>
                                  <w:u w:val="none"/>
                                </w:rPr>
                                <w:t>https://doi.org/10.21093/sajie.v9i1.13569</w:t>
                              </w:r>
                            </w:hyperlink>
                            <w:r w:rsidRPr="007351F5">
                              <w:t xml:space="preserve"> </w:t>
                            </w:r>
                          </w:p>
                          <w:p w14:paraId="44F75783" w14:textId="77777777" w:rsidR="001F62C6" w:rsidRDefault="001F62C6"/>
                        </w:txbxContent>
                      </wps:txbx>
                      <wps:bodyPr spcFirstLastPara="1" vertOverflow="clip" horzOverflow="clip" lIns="91440" tIns="45720" rIns="91440" bIns="45720" anchor="ctr" upright="1">
                        <a:prstTxWarp prst="textNoShape">
                          <a:avLst/>
                        </a:prstTxWarp>
                        <a:noAutofit/>
                      </wps:bodyPr>
                    </wps:wsp>
                  </a:graphicData>
                </a:graphic>
              </wp:anchor>
            </w:drawing>
          </mc:Choice>
          <mc:Fallback>
            <w:pict>
              <v:rect w14:anchorId="7A3640E5" id="Rectangle 1" o:spid="_x0000_s1026" style="position:absolute;left:0;text-align:left;margin-left:9pt;margin-top:-21pt;width:379.3pt;height:6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" stroked="f">
                <v:textbox>
                  <w:txbxContent>
                    <w:p w14:paraId="40C1B370" w14:textId="77777777" w:rsidR="001F62C6" w:rsidRDefault="00320985">
                      <w:pPr>
                        <w:spacing w:after="0" w:line="240" w:lineRule="auto"/>
                        <w:jc w:val="right"/>
                      </w:pPr>
                      <w:r>
                        <w:rPr>
                          <w:rFonts w:ascii="Cambria" w:eastAsia="Cambria" w:hAnsi="Cambria" w:cs="Cambria"/>
                          <w:b/>
                          <w:i/>
                          <w:color w:val="000000"/>
                          <w:sz w:val="26"/>
                        </w:rPr>
                        <w:t>Southeast Asian Journal of Islamic Education</w:t>
                      </w:r>
                    </w:p>
                    <w:p w14:paraId="620DB105" w14:textId="20EFE497" w:rsidR="001F62C6" w:rsidRDefault="001C3722">
                      <w:pPr>
                        <w:spacing w:after="0" w:line="276" w:lineRule="auto"/>
                        <w:jc w:val="right"/>
                      </w:pPr>
                      <w:r w:rsidRPr="001C3722">
                        <w:rPr>
                          <w:rFonts w:ascii="Cambria" w:eastAsia="Cambria" w:hAnsi="Cambria" w:cs="Cambria"/>
                          <w:i/>
                          <w:color w:val="000000"/>
                          <w:sz w:val="20"/>
                        </w:rPr>
                        <w:t>Volume 09, No. 01, June 2026</w:t>
                      </w:r>
                    </w:p>
                    <w:p w14:paraId="424CE4C8" w14:textId="77777777" w:rsidR="001F62C6" w:rsidRDefault="00320985">
                      <w:pPr>
                        <w:spacing w:after="0" w:line="276" w:lineRule="auto"/>
                        <w:jc w:val="right"/>
                      </w:pPr>
                      <w:r>
                        <w:rPr>
                          <w:rFonts w:ascii="Cambria" w:eastAsia="Cambria" w:hAnsi="Cambria" w:cs="Cambria"/>
                          <w:color w:val="000000"/>
                          <w:sz w:val="20"/>
                        </w:rPr>
                        <w:t>E-ISSN: 2621-5861, P-ISSN: 2621-5845</w:t>
                      </w:r>
                    </w:p>
                    <w:p w14:paraId="1AF1AFF0" w14:textId="377134AF" w:rsidR="001F62C6" w:rsidRPr="007351F5" w:rsidRDefault="007351F5">
                      <w:pPr>
                        <w:jc w:val="right"/>
                      </w:pPr>
                      <w:hyperlink r:id="rId9" w:history="1">
                        <w:r w:rsidRPr="007351F5">
                          <w:rPr>
                            <w:rStyle w:val="Hyperlink"/>
                            <w:rFonts w:ascii="Cambria" w:eastAsia="Cambria" w:hAnsi="Cambria" w:cs="Cambria"/>
                            <w:color w:val="000000" w:themeColor="text1"/>
                            <w:sz w:val="20"/>
                            <w:szCs w:val="20"/>
                            <w:u w:val="none"/>
                          </w:rPr>
                          <w:t>https://doi.org/10.21093/sajie.v9i1.13569</w:t>
                        </w:r>
                      </w:hyperlink>
                      <w:r w:rsidRPr="007351F5">
                        <w:t xml:space="preserve"> </w:t>
                      </w:r>
                    </w:p>
                    <w:p w14:paraId="44F75783" w14:textId="77777777" w:rsidR="001F62C6" w:rsidRDefault="001F62C6"/>
                  </w:txbxContent>
                </v:textbox>
              </v:rect>
            </w:pict>
          </mc:Fallback>
        </mc:AlternateContent>
      </w:r>
    </w:p>
    <w:p w14:paraId="0FD7CDE1" w14:textId="77777777" w:rsidR="0039525E" w:rsidRDefault="0039525E">
      <w:pPr>
        <w:spacing w:after="0" w:line="240" w:lineRule="auto"/>
        <w:rPr>
          <w:rFonts w:ascii="EB Garamond" w:eastAsia="EB Garamond" w:hAnsi="EB Garamond" w:cs="EB Garamond"/>
          <w:b/>
          <w:bCs/>
          <w:sz w:val="26"/>
          <w:szCs w:val="26"/>
        </w:rPr>
      </w:pPr>
    </w:p>
    <w:p w14:paraId="6501F752" w14:textId="77777777" w:rsidR="0039525E" w:rsidRDefault="0039525E">
      <w:pPr>
        <w:spacing w:after="0" w:line="240" w:lineRule="auto"/>
        <w:jc w:val="center"/>
        <w:rPr>
          <w:rFonts w:ascii="Cambria" w:eastAsia="Cambria" w:hAnsi="Cambria" w:cs="Cambria"/>
          <w:b/>
          <w:bCs/>
          <w:sz w:val="24"/>
          <w:szCs w:val="24"/>
        </w:rPr>
      </w:pPr>
    </w:p>
    <w:p w14:paraId="1779E2AD" w14:textId="77777777" w:rsidR="0039525E" w:rsidRDefault="0039525E">
      <w:pPr>
        <w:spacing w:after="0" w:line="240" w:lineRule="auto"/>
        <w:jc w:val="center"/>
        <w:rPr>
          <w:rFonts w:ascii="Cambria" w:eastAsia="Cambria" w:hAnsi="Cambria" w:cs="Cambria"/>
          <w:b/>
          <w:bCs/>
          <w:sz w:val="24"/>
          <w:szCs w:val="24"/>
        </w:rPr>
      </w:pPr>
    </w:p>
    <w:p w14:paraId="39F9D12D" w14:textId="463CB701" w:rsidR="0039525E" w:rsidRDefault="00513B86" w:rsidP="00743116">
      <w:pPr>
        <w:spacing w:after="120"/>
        <w:ind w:left="567"/>
        <w:jc w:val="center"/>
        <w:rPr>
          <w:rFonts w:ascii="Cambria" w:eastAsia="Cambria" w:hAnsi="Cambria" w:cs="Cambria"/>
          <w:b/>
          <w:bCs/>
          <w:sz w:val="28"/>
          <w:szCs w:val="28"/>
        </w:rPr>
      </w:pPr>
      <w:r w:rsidRPr="00513B86">
        <w:rPr>
          <w:rFonts w:ascii="Cambria" w:eastAsia="Cambria" w:hAnsi="Cambria" w:cs="Cambria"/>
          <w:b/>
          <w:bCs/>
          <w:sz w:val="28"/>
          <w:szCs w:val="28"/>
        </w:rPr>
        <w:t xml:space="preserve">The Role of </w:t>
      </w:r>
      <w:proofErr w:type="spellStart"/>
      <w:r w:rsidRPr="00513B86">
        <w:rPr>
          <w:rFonts w:ascii="Cambria" w:eastAsia="Cambria" w:hAnsi="Cambria" w:cs="Cambria"/>
          <w:b/>
          <w:bCs/>
          <w:sz w:val="28"/>
          <w:szCs w:val="28"/>
        </w:rPr>
        <w:t>Ruangguru</w:t>
      </w:r>
      <w:proofErr w:type="spellEnd"/>
      <w:r w:rsidRPr="00513B86">
        <w:rPr>
          <w:rFonts w:ascii="Cambria" w:eastAsia="Cambria" w:hAnsi="Cambria" w:cs="Cambria"/>
          <w:b/>
          <w:bCs/>
          <w:sz w:val="28"/>
          <w:szCs w:val="28"/>
        </w:rPr>
        <w:t xml:space="preserve"> Online Tutoring in Islamic Religious Education (PAI) Learning for Madrasah </w:t>
      </w:r>
      <w:proofErr w:type="spellStart"/>
      <w:r w:rsidRPr="00513B86">
        <w:rPr>
          <w:rFonts w:ascii="Cambria" w:eastAsia="Cambria" w:hAnsi="Cambria" w:cs="Cambria"/>
          <w:b/>
          <w:bCs/>
          <w:sz w:val="28"/>
          <w:szCs w:val="28"/>
        </w:rPr>
        <w:t>Ibtidaiyah</w:t>
      </w:r>
      <w:proofErr w:type="spellEnd"/>
      <w:r w:rsidRPr="00513B86">
        <w:rPr>
          <w:rFonts w:ascii="Cambria" w:eastAsia="Cambria" w:hAnsi="Cambria" w:cs="Cambria"/>
          <w:b/>
          <w:bCs/>
          <w:sz w:val="28"/>
          <w:szCs w:val="28"/>
        </w:rPr>
        <w:t xml:space="preserve"> Students</w:t>
      </w:r>
      <w:r w:rsidR="00320985">
        <w:rPr>
          <w:rFonts w:ascii="Cambria" w:eastAsia="Cambria" w:hAnsi="Cambria" w:cs="Cambria"/>
          <w:b/>
          <w:bCs/>
          <w:sz w:val="28"/>
          <w:szCs w:val="28"/>
        </w:rPr>
        <w:t xml:space="preserve"> </w:t>
      </w:r>
    </w:p>
    <w:p w14:paraId="4AF63E20" w14:textId="01CA808F" w:rsidR="006401D7" w:rsidRPr="007351F5" w:rsidRDefault="007351F5" w:rsidP="00743116">
      <w:pPr>
        <w:spacing w:after="0"/>
        <w:ind w:left="567"/>
        <w:jc w:val="center"/>
        <w:rPr>
          <w:rFonts w:ascii="Cambria" w:eastAsia="Cambria" w:hAnsi="Cambria" w:cs="Cambria"/>
          <w:b/>
          <w:bCs/>
          <w:color w:val="000000"/>
          <w:vertAlign w:val="superscript"/>
        </w:rPr>
      </w:pPr>
      <w:r w:rsidRPr="007351F5">
        <w:rPr>
          <w:rFonts w:ascii="Cambria" w:hAnsi="Cambria"/>
          <w:b/>
          <w:bCs/>
        </w:rPr>
        <w:t>Susanto</w:t>
      </w:r>
      <w:r w:rsidRPr="007351F5">
        <w:rPr>
          <w:rFonts w:ascii="Cambria" w:hAnsi="Cambria"/>
          <w:b/>
          <w:bCs/>
          <w:vertAlign w:val="superscript"/>
        </w:rPr>
        <w:t>1</w:t>
      </w:r>
      <w:r w:rsidRPr="007351F5">
        <w:rPr>
          <w:rFonts w:ascii="Cambria" w:eastAsia="Cambria" w:hAnsi="Cambria" w:cs="Cambria"/>
          <w:b/>
          <w:bCs/>
          <w:color w:val="000000"/>
        </w:rPr>
        <w:t>*</w:t>
      </w:r>
      <w:r w:rsidRPr="007351F5">
        <w:rPr>
          <w:rFonts w:ascii="Cambria" w:hAnsi="Cambria"/>
          <w:b/>
          <w:bCs/>
        </w:rPr>
        <w:t xml:space="preserve">, </w:t>
      </w:r>
      <w:proofErr w:type="spellStart"/>
      <w:r w:rsidRPr="007351F5">
        <w:rPr>
          <w:rFonts w:ascii="Cambria" w:hAnsi="Cambria"/>
          <w:b/>
          <w:bCs/>
        </w:rPr>
        <w:t>Misbahul</w:t>
      </w:r>
      <w:proofErr w:type="spellEnd"/>
      <w:r w:rsidRPr="007351F5">
        <w:rPr>
          <w:rFonts w:ascii="Cambria" w:hAnsi="Cambria"/>
          <w:b/>
          <w:bCs/>
        </w:rPr>
        <w:t xml:space="preserve"> Khairani</w:t>
      </w:r>
      <w:r w:rsidRPr="007351F5">
        <w:rPr>
          <w:rFonts w:ascii="Cambria" w:hAnsi="Cambria"/>
          <w:b/>
          <w:bCs/>
          <w:vertAlign w:val="superscript"/>
        </w:rPr>
        <w:t>2</w:t>
      </w:r>
      <w:r w:rsidR="00EF5239">
        <w:rPr>
          <w:rFonts w:ascii="Cambria" w:hAnsi="Cambria"/>
          <w:b/>
          <w:bCs/>
        </w:rPr>
        <w:t xml:space="preserve">, </w:t>
      </w:r>
      <w:r w:rsidRPr="007351F5">
        <w:rPr>
          <w:rFonts w:ascii="Cambria" w:hAnsi="Cambria"/>
          <w:b/>
          <w:bCs/>
        </w:rPr>
        <w:t>Noor Malihah</w:t>
      </w:r>
      <w:r w:rsidRPr="007351F5">
        <w:rPr>
          <w:rFonts w:ascii="Cambria" w:hAnsi="Cambria"/>
          <w:b/>
          <w:bCs/>
          <w:vertAlign w:val="superscript"/>
        </w:rPr>
        <w:t>3</w:t>
      </w:r>
      <w:r w:rsidRPr="007351F5">
        <w:rPr>
          <w:rFonts w:ascii="Cambria" w:hAnsi="Cambria"/>
          <w:b/>
          <w:bCs/>
        </w:rPr>
        <w:t xml:space="preserve">, </w:t>
      </w:r>
      <w:proofErr w:type="spellStart"/>
      <w:r w:rsidRPr="007351F5">
        <w:rPr>
          <w:rFonts w:ascii="Cambria" w:hAnsi="Cambria"/>
          <w:b/>
          <w:bCs/>
        </w:rPr>
        <w:t>Ferli</w:t>
      </w:r>
      <w:proofErr w:type="spellEnd"/>
      <w:r w:rsidRPr="007351F5">
        <w:rPr>
          <w:rFonts w:ascii="Cambria" w:hAnsi="Cambria"/>
          <w:b/>
          <w:bCs/>
        </w:rPr>
        <w:t xml:space="preserve"> </w:t>
      </w:r>
      <w:proofErr w:type="spellStart"/>
      <w:r w:rsidRPr="007351F5">
        <w:rPr>
          <w:rFonts w:ascii="Cambria" w:hAnsi="Cambria"/>
          <w:b/>
          <w:bCs/>
        </w:rPr>
        <w:t>Septi</w:t>
      </w:r>
      <w:proofErr w:type="spellEnd"/>
      <w:r w:rsidRPr="007351F5">
        <w:rPr>
          <w:rFonts w:ascii="Cambria" w:hAnsi="Cambria"/>
          <w:b/>
          <w:bCs/>
        </w:rPr>
        <w:t xml:space="preserve"> Irwansyah</w:t>
      </w:r>
      <w:r w:rsidRPr="007351F5">
        <w:rPr>
          <w:rFonts w:ascii="Cambria" w:hAnsi="Cambria"/>
          <w:b/>
          <w:bCs/>
          <w:vertAlign w:val="superscript"/>
        </w:rPr>
        <w:t>4</w:t>
      </w:r>
    </w:p>
    <w:p w14:paraId="63BA258B" w14:textId="41FD800F" w:rsidR="006401D7" w:rsidRPr="00D737E3" w:rsidRDefault="007351F5" w:rsidP="00743116">
      <w:pPr>
        <w:spacing w:after="0" w:line="240" w:lineRule="auto"/>
        <w:ind w:left="567"/>
        <w:jc w:val="center"/>
        <w:rPr>
          <w:rFonts w:ascii="Cambria" w:eastAsia="Cambria" w:hAnsi="Cambria" w:cs="Cambria"/>
          <w:sz w:val="20"/>
          <w:szCs w:val="20"/>
          <w:lang w:val="sv-SE" w:eastAsia="en-US"/>
        </w:rPr>
      </w:pPr>
      <w:r w:rsidRPr="00D737E3">
        <w:rPr>
          <w:rFonts w:ascii="Cambria" w:eastAsia="Cambria" w:hAnsi="Cambria" w:cs="Cambria"/>
          <w:sz w:val="20"/>
          <w:szCs w:val="20"/>
          <w:lang w:val="sv-SE" w:eastAsia="en-US"/>
        </w:rPr>
        <w:t>Universitas Islam Negeri Sultan Aji Muhammad Idris Samarinda, Indonesia</w:t>
      </w:r>
      <w:r w:rsidR="00D737E3" w:rsidRPr="00D737E3">
        <w:rPr>
          <w:rFonts w:ascii="Cambria" w:eastAsia="Cambria" w:hAnsi="Cambria" w:cs="Cambria"/>
          <w:sz w:val="20"/>
          <w:szCs w:val="20"/>
          <w:vertAlign w:val="superscript"/>
          <w:lang w:val="sv-SE" w:eastAsia="en-US"/>
        </w:rPr>
        <w:t>1</w:t>
      </w:r>
      <w:r w:rsidR="00D737E3" w:rsidRPr="00D737E3">
        <w:rPr>
          <w:rFonts w:ascii="Cambria" w:eastAsia="Cambria" w:hAnsi="Cambria" w:cs="Cambria"/>
          <w:sz w:val="20"/>
          <w:szCs w:val="20"/>
          <w:lang w:val="sv-SE" w:eastAsia="en-US"/>
        </w:rPr>
        <w:t xml:space="preserve">, </w:t>
      </w:r>
      <w:r w:rsidRPr="00D737E3">
        <w:rPr>
          <w:rFonts w:ascii="Cambria" w:eastAsia="Cambria" w:hAnsi="Cambria" w:cs="Cambria"/>
          <w:sz w:val="20"/>
          <w:szCs w:val="20"/>
          <w:lang w:val="sv-SE" w:eastAsia="en-US"/>
        </w:rPr>
        <w:t>Sekolah Tinggi Agama</w:t>
      </w:r>
      <w:r w:rsidR="00D737E3" w:rsidRPr="00D737E3">
        <w:rPr>
          <w:rFonts w:ascii="Cambria" w:eastAsia="Cambria" w:hAnsi="Cambria" w:cs="Cambria"/>
          <w:sz w:val="20"/>
          <w:szCs w:val="20"/>
          <w:lang w:val="sv-SE" w:eastAsia="en-US"/>
        </w:rPr>
        <w:t xml:space="preserve"> </w:t>
      </w:r>
      <w:r w:rsidRPr="00D737E3">
        <w:rPr>
          <w:rFonts w:ascii="Cambria" w:eastAsia="Cambria" w:hAnsi="Cambria" w:cs="Cambria"/>
          <w:sz w:val="20"/>
          <w:szCs w:val="20"/>
          <w:lang w:val="sv-SE" w:eastAsia="en-US"/>
        </w:rPr>
        <w:t>Islam Samarinda</w:t>
      </w:r>
      <w:r w:rsidR="00D737E3" w:rsidRPr="00D737E3">
        <w:rPr>
          <w:rFonts w:ascii="Cambria" w:eastAsia="Cambria" w:hAnsi="Cambria" w:cs="Cambria"/>
          <w:sz w:val="20"/>
          <w:szCs w:val="20"/>
          <w:lang w:val="sv-SE" w:eastAsia="en-US"/>
        </w:rPr>
        <w:t>, Indonesia</w:t>
      </w:r>
      <w:r w:rsidR="00D737E3" w:rsidRPr="00D737E3">
        <w:rPr>
          <w:rFonts w:ascii="Cambria" w:eastAsia="Cambria" w:hAnsi="Cambria" w:cs="Cambria"/>
          <w:sz w:val="20"/>
          <w:szCs w:val="20"/>
          <w:vertAlign w:val="superscript"/>
          <w:lang w:val="sv-SE" w:eastAsia="en-US"/>
        </w:rPr>
        <w:t>2</w:t>
      </w:r>
      <w:r w:rsidR="00D737E3" w:rsidRPr="00D737E3">
        <w:rPr>
          <w:rFonts w:ascii="Cambria" w:eastAsia="Cambria" w:hAnsi="Cambria" w:cs="Cambria"/>
          <w:sz w:val="20"/>
          <w:szCs w:val="20"/>
          <w:lang w:val="sv-SE" w:eastAsia="en-US"/>
        </w:rPr>
        <w:t xml:space="preserve">, </w:t>
      </w:r>
      <w:r w:rsidRPr="00D737E3">
        <w:rPr>
          <w:rFonts w:ascii="Cambria" w:eastAsia="Cambria" w:hAnsi="Cambria" w:cs="Cambria"/>
          <w:sz w:val="20"/>
          <w:szCs w:val="20"/>
          <w:lang w:val="sv-SE" w:eastAsia="en-US"/>
        </w:rPr>
        <w:t xml:space="preserve">Universitas Islam Negeri Salatiga, </w:t>
      </w:r>
      <w:r w:rsidR="00D737E3" w:rsidRPr="00D737E3">
        <w:rPr>
          <w:rFonts w:ascii="Cambria" w:eastAsia="Cambria" w:hAnsi="Cambria" w:cs="Cambria"/>
          <w:sz w:val="20"/>
          <w:szCs w:val="20"/>
          <w:lang w:val="sv-SE" w:eastAsia="en-US"/>
        </w:rPr>
        <w:t>Indonesia</w:t>
      </w:r>
      <w:r w:rsidR="00D737E3" w:rsidRPr="00D737E3">
        <w:rPr>
          <w:rFonts w:ascii="Cambria" w:eastAsia="Cambria" w:hAnsi="Cambria" w:cs="Cambria"/>
          <w:sz w:val="20"/>
          <w:szCs w:val="20"/>
          <w:vertAlign w:val="superscript"/>
          <w:lang w:val="sv-SE" w:eastAsia="en-US"/>
        </w:rPr>
        <w:t>3</w:t>
      </w:r>
      <w:r w:rsidR="00D737E3" w:rsidRPr="00D737E3">
        <w:rPr>
          <w:rFonts w:ascii="Cambria" w:eastAsia="Cambria" w:hAnsi="Cambria" w:cs="Cambria"/>
          <w:sz w:val="20"/>
          <w:szCs w:val="20"/>
          <w:lang w:val="sv-SE" w:eastAsia="en-US"/>
        </w:rPr>
        <w:t xml:space="preserve">, </w:t>
      </w:r>
      <w:r w:rsidRPr="00D737E3">
        <w:rPr>
          <w:rFonts w:ascii="Cambria" w:eastAsia="Cambria" w:hAnsi="Cambria" w:cs="Cambria"/>
          <w:sz w:val="20"/>
          <w:szCs w:val="20"/>
          <w:lang w:val="sv-SE" w:eastAsia="en-US"/>
        </w:rPr>
        <w:t>Universitas Islam Negeri Sunan Gunung Djati Bandung</w:t>
      </w:r>
      <w:r w:rsidR="00374B27" w:rsidRPr="00D737E3">
        <w:rPr>
          <w:rFonts w:ascii="Cambria" w:eastAsia="Cambria" w:hAnsi="Cambria" w:cs="Cambria"/>
          <w:color w:val="000000"/>
          <w:sz w:val="20"/>
          <w:szCs w:val="20"/>
          <w:lang w:val="sv-SE"/>
        </w:rPr>
        <w:t>, Indonesia</w:t>
      </w:r>
      <w:r w:rsidR="00D94665" w:rsidRPr="00D737E3">
        <w:rPr>
          <w:rFonts w:ascii="Cambria" w:eastAsia="Cambria" w:hAnsi="Cambria" w:cs="Cambria"/>
          <w:color w:val="000000"/>
          <w:sz w:val="20"/>
          <w:szCs w:val="20"/>
          <w:vertAlign w:val="superscript"/>
          <w:lang w:val="sv-SE"/>
        </w:rPr>
        <w:t>4</w:t>
      </w:r>
    </w:p>
    <w:p w14:paraId="73D7C2F5" w14:textId="16E81B93" w:rsidR="0039525E" w:rsidRPr="001F2EEA" w:rsidRDefault="00D94665" w:rsidP="00743116">
      <w:pPr>
        <w:spacing w:after="0"/>
        <w:ind w:left="567"/>
        <w:jc w:val="center"/>
        <w:rPr>
          <w:color w:val="000000" w:themeColor="text1"/>
          <w:lang w:val="it-IT"/>
        </w:rPr>
      </w:pPr>
      <w:hyperlink r:id="rId10" w:history="1">
        <w:r w:rsidRPr="001F3051">
          <w:rPr>
            <w:rStyle w:val="Hyperlink"/>
            <w:rFonts w:ascii="Cambria" w:eastAsia="Cambria" w:hAnsi="Cambria" w:cs="Cambria"/>
            <w:color w:val="000000" w:themeColor="text1"/>
            <w:sz w:val="20"/>
            <w:szCs w:val="20"/>
            <w:u w:val="none"/>
            <w:vertAlign w:val="superscript"/>
            <w:lang w:val="it-IT"/>
          </w:rPr>
          <w:t>1</w:t>
        </w:r>
        <w:r w:rsidR="002B79B8" w:rsidRPr="002B79B8">
          <w:rPr>
            <w:rStyle w:val="Hyperlink"/>
            <w:rFonts w:ascii="Cambria" w:hAnsi="Cambria"/>
            <w:i/>
            <w:iCs/>
            <w:color w:val="000000" w:themeColor="text1"/>
            <w:sz w:val="20"/>
            <w:szCs w:val="20"/>
            <w:u w:val="none"/>
            <w:lang w:val="it-IT"/>
          </w:rPr>
          <w:t>risalahhub@gmail.com</w:t>
        </w:r>
        <w:r w:rsidRPr="001F3051">
          <w:rPr>
            <w:rStyle w:val="Hyperlink"/>
            <w:rFonts w:ascii="Cambria" w:hAnsi="Cambria"/>
            <w:i/>
            <w:iCs/>
            <w:color w:val="000000" w:themeColor="text1"/>
            <w:sz w:val="20"/>
            <w:szCs w:val="20"/>
            <w:u w:val="none"/>
            <w:lang w:val="it-IT"/>
          </w:rPr>
          <w:t xml:space="preserve">, </w:t>
        </w:r>
      </w:hyperlink>
      <w:hyperlink r:id="rId11" w:history="1">
        <w:r w:rsidRPr="001F2EEA">
          <w:rPr>
            <w:rStyle w:val="Hyperlink"/>
            <w:rFonts w:ascii="Cambria" w:hAnsi="Cambria"/>
            <w:color w:val="000000" w:themeColor="text1"/>
            <w:sz w:val="20"/>
            <w:szCs w:val="20"/>
            <w:u w:val="none"/>
            <w:vertAlign w:val="superscript"/>
            <w:lang w:val="it-IT"/>
          </w:rPr>
          <w:t>2</w:t>
        </w:r>
        <w:r w:rsidR="002B79B8" w:rsidRPr="002B79B8">
          <w:rPr>
            <w:rStyle w:val="Hyperlink"/>
            <w:rFonts w:ascii="Cambria" w:hAnsi="Cambria"/>
            <w:i/>
            <w:iCs/>
            <w:color w:val="000000" w:themeColor="text1"/>
            <w:sz w:val="20"/>
            <w:szCs w:val="20"/>
            <w:u w:val="none"/>
            <w:lang w:val="it-IT"/>
          </w:rPr>
          <w:t>suhaaranaa9@gmail.com</w:t>
        </w:r>
        <w:r w:rsidRPr="001F2EEA">
          <w:rPr>
            <w:rStyle w:val="Hyperlink"/>
            <w:rFonts w:ascii="Cambria" w:hAnsi="Cambria"/>
            <w:i/>
            <w:iCs/>
            <w:color w:val="000000" w:themeColor="text1"/>
            <w:sz w:val="20"/>
            <w:szCs w:val="20"/>
            <w:u w:val="none"/>
            <w:lang w:val="it-IT"/>
          </w:rPr>
          <w:t>,</w:t>
        </w:r>
        <w:r w:rsidRPr="001F2EEA">
          <w:rPr>
            <w:rStyle w:val="Hyperlink"/>
            <w:rFonts w:eastAsia="Cambria" w:cs="Cambria"/>
            <w:color w:val="000000" w:themeColor="text1"/>
            <w:u w:val="none"/>
            <w:vertAlign w:val="superscript"/>
            <w:lang w:val="it-IT"/>
          </w:rPr>
          <w:t xml:space="preserve"> </w:t>
        </w:r>
      </w:hyperlink>
      <w:hyperlink r:id="rId12" w:history="1">
        <w:r w:rsidR="001F2EEA" w:rsidRPr="001F2EEA">
          <w:rPr>
            <w:rStyle w:val="Hyperlink"/>
            <w:rFonts w:ascii="Cambria" w:eastAsia="Cambria" w:hAnsi="Cambria" w:cs="Cambria"/>
            <w:color w:val="000000" w:themeColor="text1"/>
            <w:sz w:val="20"/>
            <w:szCs w:val="20"/>
            <w:u w:val="none"/>
            <w:vertAlign w:val="superscript"/>
            <w:lang w:val="it-IT"/>
          </w:rPr>
          <w:t>3</w:t>
        </w:r>
        <w:r w:rsidR="002B79B8" w:rsidRPr="002B79B8">
          <w:rPr>
            <w:rStyle w:val="Hyperlink"/>
            <w:rFonts w:ascii="Cambria" w:hAnsi="Cambria"/>
            <w:i/>
            <w:iCs/>
            <w:color w:val="000000" w:themeColor="text1"/>
            <w:sz w:val="20"/>
            <w:szCs w:val="20"/>
            <w:u w:val="none"/>
            <w:lang w:val="it-IT"/>
          </w:rPr>
          <w:t>noormalihah_itah@yahoo.com</w:t>
        </w:r>
      </w:hyperlink>
      <w:r w:rsidR="001F2EEA" w:rsidRPr="001F2EEA">
        <w:rPr>
          <w:rFonts w:ascii="Cambria" w:hAnsi="Cambria"/>
          <w:i/>
          <w:iCs/>
          <w:color w:val="000000" w:themeColor="text1"/>
          <w:sz w:val="20"/>
          <w:szCs w:val="20"/>
          <w:lang w:val="it-IT"/>
        </w:rPr>
        <w:t xml:space="preserve">, </w:t>
      </w:r>
      <w:hyperlink r:id="rId13" w:history="1">
        <w:r w:rsidR="001F2EEA" w:rsidRPr="001F2EEA">
          <w:rPr>
            <w:rStyle w:val="Hyperlink"/>
            <w:rFonts w:ascii="Cambria" w:eastAsia="Cambria" w:hAnsi="Cambria" w:cs="Cambria"/>
            <w:color w:val="000000" w:themeColor="text1"/>
            <w:sz w:val="20"/>
            <w:szCs w:val="20"/>
            <w:u w:val="none"/>
            <w:vertAlign w:val="superscript"/>
            <w:lang w:val="it-IT"/>
          </w:rPr>
          <w:t>4</w:t>
        </w:r>
        <w:r w:rsidR="002B79B8" w:rsidRPr="002B79B8">
          <w:rPr>
            <w:rStyle w:val="Hyperlink"/>
            <w:rFonts w:ascii="Cambria" w:hAnsi="Cambria"/>
            <w:i/>
            <w:iCs/>
            <w:color w:val="000000" w:themeColor="text1"/>
            <w:sz w:val="20"/>
            <w:szCs w:val="20"/>
            <w:u w:val="none"/>
            <w:lang w:val="it-IT"/>
          </w:rPr>
          <w:t>ferli@uinsgd.ac.id</w:t>
        </w:r>
        <w:r w:rsidR="001F2EEA" w:rsidRPr="001F2EEA">
          <w:rPr>
            <w:rStyle w:val="Hyperlink"/>
            <w:rFonts w:ascii="Cambria" w:hAnsi="Cambria"/>
            <w:i/>
            <w:iCs/>
            <w:color w:val="000000" w:themeColor="text1"/>
            <w:sz w:val="20"/>
            <w:szCs w:val="20"/>
            <w:u w:val="none"/>
            <w:lang w:val="it-IT"/>
          </w:rPr>
          <w:t xml:space="preserve"> </w:t>
        </w:r>
      </w:hyperlink>
      <w:r w:rsidR="002B79B8" w:rsidRPr="001F2EEA">
        <w:rPr>
          <w:color w:val="000000" w:themeColor="text1"/>
          <w:lang w:val="it-IT"/>
        </w:rPr>
        <w:t xml:space="preserve"> </w:t>
      </w:r>
    </w:p>
    <w:p w14:paraId="4B12F098" w14:textId="77777777" w:rsidR="00D94665" w:rsidRPr="00D737E3" w:rsidRDefault="00D94665" w:rsidP="00D94665">
      <w:pPr>
        <w:spacing w:after="0"/>
        <w:ind w:left="567"/>
        <w:jc w:val="center"/>
        <w:rPr>
          <w:color w:val="000000" w:themeColor="text1"/>
          <w:sz w:val="16"/>
          <w:szCs w:val="16"/>
          <w:lang w:val="sv-SE"/>
        </w:rPr>
      </w:pPr>
    </w:p>
    <w:tbl>
      <w:tblPr>
        <w:tblStyle w:val="a"/>
        <w:tblW w:w="85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8"/>
      </w:tblGrid>
      <w:tr w:rsidR="0039525E" w14:paraId="1174BBFD" w14:textId="77777777">
        <w:tc>
          <w:tcPr>
            <w:tcW w:w="8508" w:type="dxa"/>
            <w:tcBorders>
              <w:left w:val="nil"/>
              <w:right w:val="nil"/>
            </w:tcBorders>
            <w:vAlign w:val="center"/>
          </w:tcPr>
          <w:p w14:paraId="375F3434" w14:textId="77777777" w:rsidR="0039525E" w:rsidRDefault="00320985">
            <w:pPr>
              <w:spacing w:after="120"/>
              <w:ind w:left="562" w:hanging="105"/>
              <w:jc w:val="center"/>
              <w:rPr>
                <w:rFonts w:ascii="Cambria" w:eastAsia="Cambria" w:hAnsi="Cambria" w:cs="Cambria"/>
                <w:b/>
                <w:bCs/>
                <w:color w:val="000000"/>
                <w:sz w:val="20"/>
                <w:szCs w:val="20"/>
              </w:rPr>
            </w:pPr>
            <w:r>
              <w:rPr>
                <w:rFonts w:ascii="Cambria" w:eastAsia="Cambria" w:hAnsi="Cambria" w:cs="Cambria"/>
                <w:b/>
                <w:bCs/>
                <w:color w:val="000000"/>
                <w:sz w:val="20"/>
                <w:szCs w:val="20"/>
              </w:rPr>
              <w:t>Article History:</w:t>
            </w:r>
          </w:p>
          <w:p w14:paraId="5A628AD4" w14:textId="0BC4700A" w:rsidR="0039525E" w:rsidRDefault="00425875">
            <w:pPr>
              <w:spacing w:after="0"/>
              <w:jc w:val="center"/>
              <w:rPr>
                <w:rFonts w:ascii="Cambria" w:eastAsia="Cambria" w:hAnsi="Cambria" w:cs="Cambria"/>
                <w:sz w:val="20"/>
                <w:szCs w:val="20"/>
              </w:rPr>
            </w:pPr>
            <w:r w:rsidRPr="007D7EC3">
              <w:rPr>
                <w:rFonts w:ascii="Cambria" w:hAnsi="Cambria"/>
                <w:i/>
                <w:iCs/>
                <w:color w:val="000000" w:themeColor="text1"/>
                <w:sz w:val="20"/>
                <w:szCs w:val="20"/>
              </w:rPr>
              <w:t xml:space="preserve">Received: </w:t>
            </w:r>
            <w:r>
              <w:rPr>
                <w:rFonts w:ascii="Cambria" w:hAnsi="Cambria"/>
                <w:i/>
                <w:iCs/>
                <w:color w:val="000000" w:themeColor="text1"/>
                <w:sz w:val="20"/>
                <w:szCs w:val="20"/>
              </w:rPr>
              <w:t>May</w:t>
            </w:r>
            <w:r w:rsidRPr="007D7EC3">
              <w:rPr>
                <w:rFonts w:ascii="Cambria" w:hAnsi="Cambria"/>
                <w:i/>
                <w:iCs/>
                <w:color w:val="000000" w:themeColor="text1"/>
                <w:sz w:val="20"/>
                <w:szCs w:val="20"/>
              </w:rPr>
              <w:t xml:space="preserve"> </w:t>
            </w:r>
            <w:r w:rsidR="002B79B8">
              <w:rPr>
                <w:rFonts w:ascii="Cambria" w:hAnsi="Cambria"/>
                <w:i/>
                <w:iCs/>
                <w:color w:val="000000" w:themeColor="text1"/>
                <w:sz w:val="20"/>
                <w:szCs w:val="20"/>
              </w:rPr>
              <w:t>28</w:t>
            </w:r>
            <w:r w:rsidRPr="00054BDE">
              <w:rPr>
                <w:rFonts w:ascii="Cambria" w:hAnsi="Cambria"/>
                <w:i/>
                <w:iCs/>
                <w:color w:val="000000" w:themeColor="text1"/>
                <w:sz w:val="20"/>
                <w:szCs w:val="20"/>
                <w:vertAlign w:val="superscript"/>
              </w:rPr>
              <w:t>th</w:t>
            </w:r>
            <w:r w:rsidRPr="007D7EC3">
              <w:rPr>
                <w:rFonts w:ascii="Cambria" w:hAnsi="Cambria"/>
                <w:i/>
                <w:iCs/>
                <w:color w:val="000000" w:themeColor="text1"/>
                <w:sz w:val="20"/>
                <w:szCs w:val="20"/>
              </w:rPr>
              <w:t xml:space="preserve">, 2026      Accepted: June </w:t>
            </w:r>
            <w:r w:rsidR="002B79B8">
              <w:rPr>
                <w:rFonts w:ascii="Cambria" w:hAnsi="Cambria"/>
                <w:i/>
                <w:iCs/>
                <w:color w:val="000000" w:themeColor="text1"/>
                <w:sz w:val="20"/>
                <w:szCs w:val="20"/>
              </w:rPr>
              <w:t>28</w:t>
            </w:r>
            <w:r w:rsidR="002B79B8">
              <w:rPr>
                <w:rFonts w:ascii="Cambria" w:hAnsi="Cambria"/>
                <w:i/>
                <w:iCs/>
                <w:color w:val="000000" w:themeColor="text1"/>
                <w:sz w:val="20"/>
                <w:szCs w:val="20"/>
                <w:vertAlign w:val="superscript"/>
              </w:rPr>
              <w:t>th</w:t>
            </w:r>
            <w:r w:rsidRPr="007D7EC3">
              <w:rPr>
                <w:rFonts w:ascii="Cambria" w:hAnsi="Cambria"/>
                <w:i/>
                <w:iCs/>
                <w:color w:val="000000" w:themeColor="text1"/>
                <w:sz w:val="20"/>
                <w:szCs w:val="20"/>
              </w:rPr>
              <w:t xml:space="preserve">, 2026      Published: June </w:t>
            </w:r>
            <w:r w:rsidR="002B79B8">
              <w:rPr>
                <w:rFonts w:ascii="Cambria" w:hAnsi="Cambria"/>
                <w:i/>
                <w:iCs/>
                <w:color w:val="000000" w:themeColor="text1"/>
                <w:sz w:val="20"/>
                <w:szCs w:val="20"/>
              </w:rPr>
              <w:t>30</w:t>
            </w:r>
            <w:r>
              <w:rPr>
                <w:rFonts w:ascii="Cambria" w:hAnsi="Cambria"/>
                <w:i/>
                <w:iCs/>
                <w:color w:val="000000" w:themeColor="text1"/>
                <w:sz w:val="20"/>
                <w:szCs w:val="20"/>
                <w:vertAlign w:val="superscript"/>
              </w:rPr>
              <w:t>th</w:t>
            </w:r>
            <w:r w:rsidRPr="007D7EC3">
              <w:rPr>
                <w:rFonts w:ascii="Cambria" w:hAnsi="Cambria"/>
                <w:i/>
                <w:iCs/>
                <w:color w:val="000000" w:themeColor="text1"/>
                <w:sz w:val="20"/>
                <w:szCs w:val="20"/>
              </w:rPr>
              <w:t>, 2026</w:t>
            </w:r>
          </w:p>
        </w:tc>
      </w:tr>
    </w:tbl>
    <w:p w14:paraId="465C8BA3" w14:textId="77777777" w:rsidR="0039525E" w:rsidRDefault="0039525E">
      <w:pPr>
        <w:spacing w:after="0"/>
        <w:jc w:val="center"/>
        <w:rPr>
          <w:rFonts w:ascii="Cambria" w:eastAsia="Cambria" w:hAnsi="Cambria" w:cs="Cambria"/>
          <w:sz w:val="20"/>
          <w:szCs w:val="20"/>
        </w:rPr>
      </w:pPr>
    </w:p>
    <w:tbl>
      <w:tblPr>
        <w:tblStyle w:val="a0"/>
        <w:tblW w:w="85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8"/>
      </w:tblGrid>
      <w:tr w:rsidR="0039525E" w14:paraId="4640BAB3" w14:textId="77777777">
        <w:tc>
          <w:tcPr>
            <w:tcW w:w="8508" w:type="dxa"/>
            <w:tcBorders>
              <w:left w:val="nil"/>
              <w:right w:val="nil"/>
            </w:tcBorders>
            <w:vAlign w:val="center"/>
          </w:tcPr>
          <w:p w14:paraId="6765C4EE" w14:textId="77777777" w:rsidR="0039525E" w:rsidRDefault="00320985">
            <w:pPr>
              <w:spacing w:before="120" w:after="120"/>
              <w:ind w:left="562"/>
              <w:jc w:val="center"/>
              <w:rPr>
                <w:rFonts w:ascii="Cambria" w:eastAsia="Cambria" w:hAnsi="Cambria" w:cs="Cambria"/>
                <w:sz w:val="24"/>
                <w:szCs w:val="24"/>
              </w:rPr>
            </w:pPr>
            <w:r>
              <w:rPr>
                <w:rFonts w:ascii="Cambria" w:eastAsia="Cambria" w:hAnsi="Cambria" w:cs="Cambria"/>
                <w:b/>
                <w:bCs/>
                <w:sz w:val="24"/>
                <w:szCs w:val="24"/>
              </w:rPr>
              <w:t>Abstract</w:t>
            </w:r>
          </w:p>
        </w:tc>
      </w:tr>
      <w:tr w:rsidR="0039525E" w:rsidRPr="00EF5239" w14:paraId="1C7C9CB6" w14:textId="77777777">
        <w:tc>
          <w:tcPr>
            <w:tcW w:w="8508" w:type="dxa"/>
            <w:tcBorders>
              <w:left w:val="nil"/>
              <w:right w:val="nil"/>
            </w:tcBorders>
          </w:tcPr>
          <w:p w14:paraId="11F656D6" w14:textId="267C51F9" w:rsidR="0039525E" w:rsidRPr="00892104" w:rsidRDefault="00EF5239" w:rsidP="00892104">
            <w:pPr>
              <w:spacing w:before="120" w:after="120" w:line="240" w:lineRule="auto"/>
              <w:ind w:left="-106" w:right="-111"/>
              <w:jc w:val="both"/>
              <w:rPr>
                <w:rFonts w:ascii="Cambria" w:eastAsia="Cambria" w:hAnsi="Cambria" w:cs="Cambria"/>
                <w:sz w:val="24"/>
                <w:szCs w:val="24"/>
              </w:rPr>
            </w:pPr>
            <w:r w:rsidRPr="00EF5239">
              <w:rPr>
                <w:rFonts w:ascii="Cambria" w:eastAsia="Cambria" w:hAnsi="Cambria" w:cs="Cambria"/>
                <w:sz w:val="24"/>
                <w:szCs w:val="24"/>
              </w:rPr>
              <w:t xml:space="preserve">This study examines the role of </w:t>
            </w:r>
            <w:proofErr w:type="spellStart"/>
            <w:r w:rsidRPr="00EF5239">
              <w:rPr>
                <w:rFonts w:ascii="Cambria" w:eastAsia="Cambria" w:hAnsi="Cambria" w:cs="Cambria"/>
                <w:sz w:val="24"/>
                <w:szCs w:val="24"/>
              </w:rPr>
              <w:t>Ruangguru</w:t>
            </w:r>
            <w:proofErr w:type="spellEnd"/>
            <w:r w:rsidRPr="00EF5239">
              <w:rPr>
                <w:rFonts w:ascii="Cambria" w:eastAsia="Cambria" w:hAnsi="Cambria" w:cs="Cambria"/>
                <w:sz w:val="24"/>
                <w:szCs w:val="24"/>
              </w:rPr>
              <w:t xml:space="preserve"> online tutoring in supporting Islamic Religious Education (PAI) learning among students at MI Al-Azhar Samarinda. Using a qualitative field research design, data were collected through observation, in-depth interviews, and documentation. Participants consisted of seven students who actively used </w:t>
            </w:r>
            <w:proofErr w:type="spellStart"/>
            <w:r w:rsidRPr="00EF5239">
              <w:rPr>
                <w:rFonts w:ascii="Cambria" w:eastAsia="Cambria" w:hAnsi="Cambria" w:cs="Cambria"/>
                <w:sz w:val="24"/>
                <w:szCs w:val="24"/>
              </w:rPr>
              <w:t>Ruangguru</w:t>
            </w:r>
            <w:proofErr w:type="spellEnd"/>
            <w:r w:rsidRPr="00EF5239">
              <w:rPr>
                <w:rFonts w:ascii="Cambria" w:eastAsia="Cambria" w:hAnsi="Cambria" w:cs="Cambria"/>
                <w:sz w:val="24"/>
                <w:szCs w:val="24"/>
              </w:rPr>
              <w:t xml:space="preserve"> for PAI learning, seven parents, one </w:t>
            </w:r>
            <w:proofErr w:type="spellStart"/>
            <w:r w:rsidRPr="00EF5239">
              <w:rPr>
                <w:rFonts w:ascii="Cambria" w:eastAsia="Cambria" w:hAnsi="Cambria" w:cs="Cambria"/>
                <w:sz w:val="24"/>
                <w:szCs w:val="24"/>
              </w:rPr>
              <w:t>Ruangguru</w:t>
            </w:r>
            <w:proofErr w:type="spellEnd"/>
            <w:r w:rsidRPr="00EF5239">
              <w:rPr>
                <w:rFonts w:ascii="Cambria" w:eastAsia="Cambria" w:hAnsi="Cambria" w:cs="Cambria"/>
                <w:sz w:val="24"/>
                <w:szCs w:val="24"/>
              </w:rPr>
              <w:t xml:space="preserve"> branch manager, and one marketing officer, selected purposively to represent student, family, and platform perspectives. Data were </w:t>
            </w:r>
            <w:proofErr w:type="spellStart"/>
            <w:r w:rsidRPr="00EF5239">
              <w:rPr>
                <w:rFonts w:ascii="Cambria" w:eastAsia="Cambria" w:hAnsi="Cambria" w:cs="Cambria"/>
                <w:sz w:val="24"/>
                <w:szCs w:val="24"/>
              </w:rPr>
              <w:t>analyzed</w:t>
            </w:r>
            <w:proofErr w:type="spellEnd"/>
            <w:r w:rsidRPr="00EF5239">
              <w:rPr>
                <w:rFonts w:ascii="Cambria" w:eastAsia="Cambria" w:hAnsi="Cambria" w:cs="Cambria"/>
                <w:sz w:val="24"/>
                <w:szCs w:val="24"/>
              </w:rPr>
              <w:t xml:space="preserve"> using the interactive model of Miles, Huberman, and Saldaña, including data condensation, data display, and conclusion drawing. The findings show that </w:t>
            </w:r>
            <w:proofErr w:type="spellStart"/>
            <w:r w:rsidRPr="00EF5239">
              <w:rPr>
                <w:rFonts w:ascii="Cambria" w:eastAsia="Cambria" w:hAnsi="Cambria" w:cs="Cambria"/>
                <w:sz w:val="24"/>
                <w:szCs w:val="24"/>
              </w:rPr>
              <w:t>Ruangguru</w:t>
            </w:r>
            <w:proofErr w:type="spellEnd"/>
            <w:r w:rsidRPr="00EF5239">
              <w:rPr>
                <w:rFonts w:ascii="Cambria" w:eastAsia="Cambria" w:hAnsi="Cambria" w:cs="Cambria"/>
                <w:sz w:val="24"/>
                <w:szCs w:val="24"/>
              </w:rPr>
              <w:t xml:space="preserve"> in </w:t>
            </w:r>
            <w:proofErr w:type="spellStart"/>
            <w:r w:rsidRPr="00EF5239">
              <w:rPr>
                <w:rFonts w:ascii="Cambria" w:eastAsia="Cambria" w:hAnsi="Cambria" w:cs="Cambria"/>
                <w:sz w:val="24"/>
                <w:szCs w:val="24"/>
              </w:rPr>
              <w:t>Samarinda</w:t>
            </w:r>
            <w:proofErr w:type="spellEnd"/>
            <w:r w:rsidRPr="00EF5239">
              <w:rPr>
                <w:rFonts w:ascii="Cambria" w:eastAsia="Cambria" w:hAnsi="Cambria" w:cs="Cambria"/>
                <w:sz w:val="24"/>
                <w:szCs w:val="24"/>
              </w:rPr>
              <w:t xml:space="preserve"> operates through an e-learning model </w:t>
            </w:r>
            <w:proofErr w:type="spellStart"/>
            <w:r w:rsidRPr="00EF5239">
              <w:rPr>
                <w:rFonts w:ascii="Cambria" w:eastAsia="Cambria" w:hAnsi="Cambria" w:cs="Cambria"/>
                <w:sz w:val="24"/>
                <w:szCs w:val="24"/>
              </w:rPr>
              <w:t>centered</w:t>
            </w:r>
            <w:proofErr w:type="spellEnd"/>
            <w:r w:rsidRPr="00EF5239">
              <w:rPr>
                <w:rFonts w:ascii="Cambria" w:eastAsia="Cambria" w:hAnsi="Cambria" w:cs="Cambria"/>
                <w:sz w:val="24"/>
                <w:szCs w:val="24"/>
              </w:rPr>
              <w:t xml:space="preserve"> on the </w:t>
            </w:r>
            <w:proofErr w:type="spellStart"/>
            <w:r w:rsidRPr="00EF5239">
              <w:rPr>
                <w:rFonts w:ascii="Cambria" w:eastAsia="Cambria" w:hAnsi="Cambria" w:cs="Cambria"/>
                <w:sz w:val="24"/>
                <w:szCs w:val="24"/>
              </w:rPr>
              <w:t>Ruangngaji</w:t>
            </w:r>
            <w:proofErr w:type="spellEnd"/>
            <w:r w:rsidRPr="00EF5239">
              <w:rPr>
                <w:rFonts w:ascii="Cambria" w:eastAsia="Cambria" w:hAnsi="Cambria" w:cs="Cambria"/>
                <w:sz w:val="24"/>
                <w:szCs w:val="24"/>
              </w:rPr>
              <w:t xml:space="preserve"> feature. This feature provides animated PAI learning videos, infographic summaries, Ruang Uji practice exercises, and learning progress reports. </w:t>
            </w:r>
            <w:proofErr w:type="spellStart"/>
            <w:r w:rsidRPr="00EF5239">
              <w:rPr>
                <w:rFonts w:ascii="Cambria" w:eastAsia="Cambria" w:hAnsi="Cambria" w:cs="Cambria"/>
                <w:sz w:val="24"/>
                <w:szCs w:val="24"/>
              </w:rPr>
              <w:t>Ruangguru</w:t>
            </w:r>
            <w:proofErr w:type="spellEnd"/>
            <w:r w:rsidRPr="00EF5239">
              <w:rPr>
                <w:rFonts w:ascii="Cambria" w:eastAsia="Cambria" w:hAnsi="Cambria" w:cs="Cambria"/>
                <w:sz w:val="24"/>
                <w:szCs w:val="24"/>
              </w:rPr>
              <w:t xml:space="preserve"> supports PAI learning by improving students’ understanding and learning outcomes, providing accessible learning facilities, increasing motivation and enthusiasm, helping students overcome difficulties in Qur’anic recitation and related materials, and enabling students to access learning resources anytime and anywhere. The study indicates that online tutoring platforms can serve as complementary learning resources for PAI at the madrasah </w:t>
            </w:r>
            <w:proofErr w:type="spellStart"/>
            <w:r w:rsidRPr="00EF5239">
              <w:rPr>
                <w:rFonts w:ascii="Cambria" w:eastAsia="Cambria" w:hAnsi="Cambria" w:cs="Cambria"/>
                <w:sz w:val="24"/>
                <w:szCs w:val="24"/>
              </w:rPr>
              <w:t>ibtidaiyah</w:t>
            </w:r>
            <w:proofErr w:type="spellEnd"/>
            <w:r w:rsidRPr="00EF5239">
              <w:rPr>
                <w:rFonts w:ascii="Cambria" w:eastAsia="Cambria" w:hAnsi="Cambria" w:cs="Cambria"/>
                <w:sz w:val="24"/>
                <w:szCs w:val="24"/>
              </w:rPr>
              <w:t xml:space="preserve"> level. However, broader studies involving different schools, platforms, and learning contexts are needed to strengthen the generalizability of these findings.</w:t>
            </w:r>
          </w:p>
          <w:p w14:paraId="59A3F0CF" w14:textId="057F7FD1" w:rsidR="00A14E33" w:rsidRPr="00892104" w:rsidRDefault="00320985" w:rsidP="009058B0">
            <w:pPr>
              <w:tabs>
                <w:tab w:val="left" w:pos="1312"/>
              </w:tabs>
              <w:spacing w:after="240"/>
              <w:ind w:left="1165" w:right="71" w:hanging="1271"/>
              <w:jc w:val="both"/>
              <w:rPr>
                <w:rFonts w:ascii="Cambria" w:eastAsia="Cambria" w:hAnsi="Cambria" w:cs="Cambria"/>
                <w:sz w:val="24"/>
                <w:szCs w:val="24"/>
              </w:rPr>
            </w:pPr>
            <w:r w:rsidRPr="00892104">
              <w:rPr>
                <w:rFonts w:ascii="Cambria" w:eastAsia="Cambria" w:hAnsi="Cambria" w:cs="Cambria"/>
                <w:b/>
                <w:bCs/>
                <w:sz w:val="24"/>
                <w:szCs w:val="24"/>
              </w:rPr>
              <w:t>Keywords</w:t>
            </w:r>
            <w:r w:rsidRPr="00892104">
              <w:rPr>
                <w:rFonts w:ascii="Cambria" w:eastAsia="Cambria" w:hAnsi="Cambria" w:cs="Cambria"/>
                <w:sz w:val="24"/>
                <w:szCs w:val="24"/>
              </w:rPr>
              <w:t>:</w:t>
            </w:r>
            <w:r w:rsidRPr="00892104">
              <w:rPr>
                <w:rFonts w:ascii="Cambria" w:eastAsia="Cambria" w:hAnsi="Cambria" w:cs="Cambria"/>
                <w:sz w:val="24"/>
                <w:szCs w:val="24"/>
              </w:rPr>
              <w:tab/>
            </w:r>
            <w:r w:rsidR="00EF5239" w:rsidRPr="00EF5239">
              <w:rPr>
                <w:rFonts w:ascii="Cambria" w:eastAsia="Cambria" w:hAnsi="Cambria" w:cs="Cambria"/>
                <w:sz w:val="24"/>
                <w:szCs w:val="24"/>
              </w:rPr>
              <w:t xml:space="preserve">e-learning, Islamic Religious Education, madrasah </w:t>
            </w:r>
            <w:proofErr w:type="spellStart"/>
            <w:r w:rsidR="00EF5239" w:rsidRPr="00EF5239">
              <w:rPr>
                <w:rFonts w:ascii="Cambria" w:eastAsia="Cambria" w:hAnsi="Cambria" w:cs="Cambria"/>
                <w:sz w:val="24"/>
                <w:szCs w:val="24"/>
              </w:rPr>
              <w:t>ibtidaiyah</w:t>
            </w:r>
            <w:proofErr w:type="spellEnd"/>
            <w:r w:rsidR="00EF5239" w:rsidRPr="00EF5239">
              <w:rPr>
                <w:rFonts w:ascii="Cambria" w:eastAsia="Cambria" w:hAnsi="Cambria" w:cs="Cambria"/>
                <w:sz w:val="24"/>
                <w:szCs w:val="24"/>
              </w:rPr>
              <w:t xml:space="preserve">, online tutoring, </w:t>
            </w:r>
            <w:proofErr w:type="spellStart"/>
            <w:r w:rsidR="00EF5239" w:rsidRPr="00EF5239">
              <w:rPr>
                <w:rFonts w:ascii="Cambria" w:eastAsia="Cambria" w:hAnsi="Cambria" w:cs="Cambria"/>
                <w:sz w:val="24"/>
                <w:szCs w:val="24"/>
              </w:rPr>
              <w:t>Ruangguru</w:t>
            </w:r>
            <w:proofErr w:type="spellEnd"/>
          </w:p>
          <w:p w14:paraId="4CBD7D4C" w14:textId="1A4FDF6F" w:rsidR="0039525E" w:rsidRPr="00EF5239" w:rsidRDefault="00320985">
            <w:pPr>
              <w:tabs>
                <w:tab w:val="left" w:pos="6237"/>
              </w:tabs>
              <w:spacing w:after="0" w:line="240" w:lineRule="auto"/>
              <w:ind w:right="-100"/>
              <w:jc w:val="right"/>
              <w:rPr>
                <w:rFonts w:ascii="Cambria" w:eastAsia="Cambria" w:hAnsi="Cambria" w:cs="Cambria"/>
                <w:i/>
                <w:iCs/>
                <w:sz w:val="20"/>
                <w:szCs w:val="20"/>
              </w:rPr>
            </w:pPr>
            <w:r w:rsidRPr="00EF5239">
              <w:rPr>
                <w:rFonts w:ascii="Cambria" w:eastAsia="Cambria" w:hAnsi="Cambria" w:cs="Cambria"/>
                <w:color w:val="000000"/>
                <w:sz w:val="20"/>
                <w:szCs w:val="20"/>
              </w:rPr>
              <w:t>Copyright © 202</w:t>
            </w:r>
            <w:r w:rsidR="00645C36" w:rsidRPr="00EF5239">
              <w:rPr>
                <w:rFonts w:ascii="Cambria" w:eastAsia="Cambria" w:hAnsi="Cambria" w:cs="Cambria"/>
                <w:color w:val="000000"/>
                <w:sz w:val="20"/>
                <w:szCs w:val="20"/>
              </w:rPr>
              <w:t>6</w:t>
            </w:r>
            <w:r w:rsidRPr="00EF5239">
              <w:rPr>
                <w:rFonts w:ascii="Cambria" w:eastAsia="Cambria" w:hAnsi="Cambria" w:cs="Cambria"/>
                <w:color w:val="000000"/>
                <w:sz w:val="20"/>
                <w:szCs w:val="20"/>
              </w:rPr>
              <w:t xml:space="preserve"> </w:t>
            </w:r>
            <w:r w:rsidR="00EF5239" w:rsidRPr="00EF5239">
              <w:rPr>
                <w:rFonts w:ascii="Cambria" w:eastAsia="Cambria" w:hAnsi="Cambria" w:cs="Cambria"/>
                <w:color w:val="000000"/>
                <w:sz w:val="20"/>
                <w:szCs w:val="20"/>
              </w:rPr>
              <w:t xml:space="preserve">Susanto, </w:t>
            </w:r>
            <w:proofErr w:type="spellStart"/>
            <w:r w:rsidR="00EF5239" w:rsidRPr="00EF5239">
              <w:rPr>
                <w:rFonts w:ascii="Cambria" w:eastAsia="Cambria" w:hAnsi="Cambria" w:cs="Cambria"/>
                <w:color w:val="000000"/>
                <w:sz w:val="20"/>
                <w:szCs w:val="20"/>
              </w:rPr>
              <w:t>Misbahul</w:t>
            </w:r>
            <w:proofErr w:type="spellEnd"/>
            <w:r w:rsidR="00EF5239" w:rsidRPr="00EF5239">
              <w:rPr>
                <w:rFonts w:ascii="Cambria" w:eastAsia="Cambria" w:hAnsi="Cambria" w:cs="Cambria"/>
                <w:color w:val="000000"/>
                <w:sz w:val="20"/>
                <w:szCs w:val="20"/>
              </w:rPr>
              <w:t xml:space="preserve"> </w:t>
            </w:r>
            <w:proofErr w:type="spellStart"/>
            <w:r w:rsidR="00EF5239" w:rsidRPr="00EF5239">
              <w:rPr>
                <w:rFonts w:ascii="Cambria" w:eastAsia="Cambria" w:hAnsi="Cambria" w:cs="Cambria"/>
                <w:color w:val="000000"/>
                <w:sz w:val="20"/>
                <w:szCs w:val="20"/>
              </w:rPr>
              <w:t>Khairani</w:t>
            </w:r>
            <w:proofErr w:type="spellEnd"/>
            <w:r w:rsidR="00EF5239">
              <w:rPr>
                <w:rFonts w:ascii="Cambria" w:eastAsia="Cambria" w:hAnsi="Cambria" w:cs="Cambria"/>
                <w:color w:val="000000"/>
                <w:sz w:val="20"/>
                <w:szCs w:val="20"/>
              </w:rPr>
              <w:t>,</w:t>
            </w:r>
            <w:r w:rsidR="00EF5239" w:rsidRPr="00EF5239">
              <w:rPr>
                <w:rFonts w:ascii="Cambria" w:eastAsia="Cambria" w:hAnsi="Cambria" w:cs="Cambria"/>
                <w:color w:val="000000"/>
                <w:sz w:val="20"/>
                <w:szCs w:val="20"/>
              </w:rPr>
              <w:t xml:space="preserve"> Noor Malihah, </w:t>
            </w:r>
            <w:proofErr w:type="spellStart"/>
            <w:r w:rsidR="00EF5239" w:rsidRPr="00EF5239">
              <w:rPr>
                <w:rFonts w:ascii="Cambria" w:eastAsia="Cambria" w:hAnsi="Cambria" w:cs="Cambria"/>
                <w:color w:val="000000"/>
                <w:sz w:val="20"/>
                <w:szCs w:val="20"/>
              </w:rPr>
              <w:t>Ferli</w:t>
            </w:r>
            <w:proofErr w:type="spellEnd"/>
            <w:r w:rsidR="00EF5239" w:rsidRPr="00EF5239">
              <w:rPr>
                <w:rFonts w:ascii="Cambria" w:eastAsia="Cambria" w:hAnsi="Cambria" w:cs="Cambria"/>
                <w:color w:val="000000"/>
                <w:sz w:val="20"/>
                <w:szCs w:val="20"/>
              </w:rPr>
              <w:t xml:space="preserve"> </w:t>
            </w:r>
            <w:proofErr w:type="spellStart"/>
            <w:r w:rsidR="00EF5239" w:rsidRPr="00EF5239">
              <w:rPr>
                <w:rFonts w:ascii="Cambria" w:eastAsia="Cambria" w:hAnsi="Cambria" w:cs="Cambria"/>
                <w:color w:val="000000"/>
                <w:sz w:val="20"/>
                <w:szCs w:val="20"/>
              </w:rPr>
              <w:t>Septi</w:t>
            </w:r>
            <w:proofErr w:type="spellEnd"/>
            <w:r w:rsidR="00EF5239" w:rsidRPr="00EF5239">
              <w:rPr>
                <w:rFonts w:ascii="Cambria" w:eastAsia="Cambria" w:hAnsi="Cambria" w:cs="Cambria"/>
                <w:color w:val="000000"/>
                <w:sz w:val="20"/>
                <w:szCs w:val="20"/>
              </w:rPr>
              <w:t xml:space="preserve"> </w:t>
            </w:r>
            <w:proofErr w:type="spellStart"/>
            <w:r w:rsidR="00EF5239" w:rsidRPr="00EF5239">
              <w:rPr>
                <w:rFonts w:ascii="Cambria" w:eastAsia="Cambria" w:hAnsi="Cambria" w:cs="Cambria"/>
                <w:color w:val="000000"/>
                <w:sz w:val="20"/>
                <w:szCs w:val="20"/>
              </w:rPr>
              <w:t>Irwansyah</w:t>
            </w:r>
            <w:proofErr w:type="spellEnd"/>
          </w:p>
        </w:tc>
      </w:tr>
      <w:tr w:rsidR="0039525E" w14:paraId="2EAE9990" w14:textId="77777777">
        <w:tc>
          <w:tcPr>
            <w:tcW w:w="8508" w:type="dxa"/>
            <w:tcBorders>
              <w:left w:val="nil"/>
              <w:right w:val="nil"/>
            </w:tcBorders>
          </w:tcPr>
          <w:p w14:paraId="7394AC42" w14:textId="77777777" w:rsidR="0039525E" w:rsidRDefault="00320985">
            <w:pPr>
              <w:tabs>
                <w:tab w:val="left" w:pos="6237"/>
              </w:tabs>
              <w:spacing w:before="60" w:after="0" w:line="240" w:lineRule="auto"/>
              <w:ind w:hanging="106"/>
              <w:rPr>
                <w:rFonts w:ascii="Cambria" w:eastAsia="Cambria" w:hAnsi="Cambria" w:cs="Cambria"/>
                <w:color w:val="000000"/>
                <w:sz w:val="20"/>
                <w:szCs w:val="20"/>
              </w:rPr>
            </w:pPr>
            <w:r>
              <w:rPr>
                <w:rFonts w:ascii="Cambria" w:eastAsia="Cambria" w:hAnsi="Cambria" w:cs="Cambria"/>
                <w:color w:val="000000"/>
                <w:sz w:val="20"/>
                <w:szCs w:val="20"/>
              </w:rPr>
              <w:t xml:space="preserve">* </w:t>
            </w:r>
            <w:r>
              <w:rPr>
                <w:rFonts w:ascii="Cambria" w:eastAsia="Cambria" w:hAnsi="Cambria" w:cs="Cambria"/>
                <w:b/>
                <w:bCs/>
                <w:color w:val="000000"/>
                <w:sz w:val="20"/>
                <w:szCs w:val="20"/>
              </w:rPr>
              <w:t>Correspondence Address</w:t>
            </w:r>
            <w:r>
              <w:rPr>
                <w:rFonts w:ascii="Cambria" w:eastAsia="Cambria" w:hAnsi="Cambria" w:cs="Cambria"/>
                <w:sz w:val="20"/>
                <w:szCs w:val="20"/>
              </w:rPr>
              <w:t>:</w:t>
            </w:r>
            <w:r>
              <w:rPr>
                <w:rFonts w:ascii="Cambria" w:eastAsia="Cambria" w:hAnsi="Cambria" w:cs="Cambria"/>
                <w:sz w:val="20"/>
                <w:szCs w:val="20"/>
              </w:rPr>
              <w:tab/>
            </w:r>
          </w:p>
          <w:p w14:paraId="29A15E62" w14:textId="36D6A396" w:rsidR="0039525E" w:rsidRDefault="00320985">
            <w:pPr>
              <w:spacing w:after="60" w:line="240" w:lineRule="auto"/>
              <w:ind w:hanging="106"/>
              <w:jc w:val="both"/>
              <w:rPr>
                <w:rFonts w:ascii="Cambria" w:eastAsia="Cambria" w:hAnsi="Cambria" w:cs="Cambria"/>
                <w:color w:val="000000"/>
                <w:sz w:val="24"/>
                <w:szCs w:val="24"/>
              </w:rPr>
            </w:pPr>
            <w:r>
              <w:rPr>
                <w:rFonts w:ascii="Cambria" w:eastAsia="Cambria" w:hAnsi="Cambria" w:cs="Cambria"/>
                <w:sz w:val="20"/>
                <w:szCs w:val="20"/>
              </w:rPr>
              <w:t xml:space="preserve">Email Address: </w:t>
            </w:r>
            <w:r w:rsidR="002B79B8" w:rsidRPr="002B79B8">
              <w:rPr>
                <w:rFonts w:ascii="Cambria" w:eastAsia="Cambria" w:hAnsi="Cambria" w:cs="Cambria"/>
                <w:i/>
                <w:iCs/>
                <w:sz w:val="20"/>
                <w:szCs w:val="20"/>
              </w:rPr>
              <w:t>risalahhub@gmail.com</w:t>
            </w:r>
          </w:p>
        </w:tc>
      </w:tr>
      <w:tr w:rsidR="0039525E" w14:paraId="4680F186" w14:textId="77777777">
        <w:tc>
          <w:tcPr>
            <w:tcW w:w="8508" w:type="dxa"/>
            <w:tcBorders>
              <w:left w:val="nil"/>
              <w:right w:val="nil"/>
            </w:tcBorders>
          </w:tcPr>
          <w:p w14:paraId="7B45F97C" w14:textId="30F93BF5" w:rsidR="0039525E" w:rsidRDefault="00320985">
            <w:pPr>
              <w:spacing w:before="120" w:after="120" w:line="240" w:lineRule="auto"/>
              <w:ind w:left="-106"/>
              <w:jc w:val="both"/>
              <w:rPr>
                <w:rFonts w:ascii="Cambria" w:eastAsia="Cambria" w:hAnsi="Cambria" w:cs="Cambria"/>
                <w:b/>
                <w:bCs/>
                <w:color w:val="000000"/>
                <w:sz w:val="20"/>
                <w:szCs w:val="20"/>
              </w:rPr>
            </w:pPr>
            <w:r w:rsidRPr="009058B0">
              <w:rPr>
                <w:rFonts w:ascii="Cambria" w:eastAsia="Cambria" w:hAnsi="Cambria" w:cs="Cambria"/>
                <w:b/>
                <w:bCs/>
                <w:color w:val="000000"/>
                <w:sz w:val="20"/>
                <w:szCs w:val="20"/>
              </w:rPr>
              <w:t>Citation</w:t>
            </w:r>
            <w:r w:rsidRPr="009058B0">
              <w:rPr>
                <w:rFonts w:ascii="Cambria" w:eastAsia="Cambria" w:hAnsi="Cambria" w:cs="Cambria"/>
                <w:color w:val="000000"/>
                <w:sz w:val="20"/>
                <w:szCs w:val="20"/>
              </w:rPr>
              <w:t xml:space="preserve">: </w:t>
            </w:r>
            <w:r w:rsidR="009058B0" w:rsidRPr="009058B0">
              <w:rPr>
                <w:rFonts w:ascii="Cambria" w:eastAsia="Cambria" w:hAnsi="Cambria" w:cs="Cambria"/>
                <w:sz w:val="20"/>
                <w:szCs w:val="20"/>
              </w:rPr>
              <w:t xml:space="preserve">Susanto, S., </w:t>
            </w:r>
            <w:proofErr w:type="spellStart"/>
            <w:r w:rsidR="009058B0" w:rsidRPr="009058B0">
              <w:rPr>
                <w:rFonts w:ascii="Cambria" w:eastAsia="Cambria" w:hAnsi="Cambria" w:cs="Cambria"/>
                <w:sz w:val="20"/>
                <w:szCs w:val="20"/>
              </w:rPr>
              <w:t>Khairani</w:t>
            </w:r>
            <w:proofErr w:type="spellEnd"/>
            <w:r w:rsidR="009058B0" w:rsidRPr="009058B0">
              <w:rPr>
                <w:rFonts w:ascii="Cambria" w:eastAsia="Cambria" w:hAnsi="Cambria" w:cs="Cambria"/>
                <w:sz w:val="20"/>
                <w:szCs w:val="20"/>
              </w:rPr>
              <w:t xml:space="preserve">, M., Malihah, N., &amp; </w:t>
            </w:r>
            <w:proofErr w:type="spellStart"/>
            <w:r w:rsidR="009058B0" w:rsidRPr="009058B0">
              <w:rPr>
                <w:rFonts w:ascii="Cambria" w:eastAsia="Cambria" w:hAnsi="Cambria" w:cs="Cambria"/>
                <w:sz w:val="20"/>
                <w:szCs w:val="20"/>
              </w:rPr>
              <w:t>Irwansyah</w:t>
            </w:r>
            <w:proofErr w:type="spellEnd"/>
            <w:r w:rsidR="009058B0" w:rsidRPr="009058B0">
              <w:rPr>
                <w:rFonts w:ascii="Cambria" w:eastAsia="Cambria" w:hAnsi="Cambria" w:cs="Cambria"/>
                <w:sz w:val="20"/>
                <w:szCs w:val="20"/>
              </w:rPr>
              <w:t xml:space="preserve">, F. S. (2026). </w:t>
            </w:r>
            <w:r w:rsidR="00513B86" w:rsidRPr="00513B86">
              <w:rPr>
                <w:rFonts w:ascii="Cambria" w:eastAsia="Cambria" w:hAnsi="Cambria" w:cs="Cambria"/>
                <w:sz w:val="20"/>
                <w:szCs w:val="20"/>
              </w:rPr>
              <w:t xml:space="preserve">The Role of </w:t>
            </w:r>
            <w:proofErr w:type="spellStart"/>
            <w:r w:rsidR="00513B86" w:rsidRPr="00513B86">
              <w:rPr>
                <w:rFonts w:ascii="Cambria" w:eastAsia="Cambria" w:hAnsi="Cambria" w:cs="Cambria"/>
                <w:sz w:val="20"/>
                <w:szCs w:val="20"/>
              </w:rPr>
              <w:t>Ruangguru</w:t>
            </w:r>
            <w:proofErr w:type="spellEnd"/>
            <w:r w:rsidR="00513B86" w:rsidRPr="00513B86">
              <w:rPr>
                <w:rFonts w:ascii="Cambria" w:eastAsia="Cambria" w:hAnsi="Cambria" w:cs="Cambria"/>
                <w:sz w:val="20"/>
                <w:szCs w:val="20"/>
              </w:rPr>
              <w:t xml:space="preserve"> Online Tutoring in Islamic Religious Education (PAI) Learning for Madrasah </w:t>
            </w:r>
            <w:proofErr w:type="spellStart"/>
            <w:r w:rsidR="00513B86" w:rsidRPr="00513B86">
              <w:rPr>
                <w:rFonts w:ascii="Cambria" w:eastAsia="Cambria" w:hAnsi="Cambria" w:cs="Cambria"/>
                <w:sz w:val="20"/>
                <w:szCs w:val="20"/>
              </w:rPr>
              <w:t>Ibtidaiyah</w:t>
            </w:r>
            <w:proofErr w:type="spellEnd"/>
            <w:r w:rsidR="00513B86" w:rsidRPr="00513B86">
              <w:rPr>
                <w:rFonts w:ascii="Cambria" w:eastAsia="Cambria" w:hAnsi="Cambria" w:cs="Cambria"/>
                <w:sz w:val="20"/>
                <w:szCs w:val="20"/>
              </w:rPr>
              <w:t xml:space="preserve"> Students</w:t>
            </w:r>
            <w:r>
              <w:rPr>
                <w:rFonts w:ascii="Cambria" w:eastAsia="Cambria" w:hAnsi="Cambria" w:cs="Cambria"/>
                <w:sz w:val="20"/>
                <w:szCs w:val="20"/>
              </w:rPr>
              <w:t xml:space="preserve">. </w:t>
            </w:r>
            <w:r>
              <w:rPr>
                <w:rFonts w:ascii="Cambria" w:eastAsia="Cambria" w:hAnsi="Cambria" w:cs="Cambria"/>
                <w:i/>
                <w:iCs/>
                <w:sz w:val="20"/>
                <w:szCs w:val="20"/>
              </w:rPr>
              <w:t>Southeast Asian Journal of Islamic Education</w:t>
            </w:r>
            <w:r>
              <w:rPr>
                <w:rFonts w:ascii="Cambria" w:eastAsia="Cambria" w:hAnsi="Cambria" w:cs="Cambria"/>
                <w:sz w:val="20"/>
                <w:szCs w:val="20"/>
              </w:rPr>
              <w:t xml:space="preserve">, </w:t>
            </w:r>
            <w:r w:rsidR="00645C36" w:rsidRPr="00423977">
              <w:rPr>
                <w:rFonts w:ascii="Cambria" w:eastAsia="Cambria" w:hAnsi="Cambria" w:cs="Cambria"/>
                <w:i/>
                <w:noProof/>
                <w:sz w:val="20"/>
                <w:szCs w:val="20"/>
                <w:lang w:val="id-ID"/>
              </w:rPr>
              <w:t>9(1),</w:t>
            </w:r>
            <w:r w:rsidR="00645C36" w:rsidRPr="00423977">
              <w:rPr>
                <w:rFonts w:ascii="Cambria" w:eastAsia="Cambria" w:hAnsi="Cambria" w:cs="Cambria"/>
                <w:noProof/>
                <w:sz w:val="20"/>
                <w:szCs w:val="20"/>
                <w:lang w:val="id-ID"/>
              </w:rPr>
              <w:t xml:space="preserve"> </w:t>
            </w:r>
            <w:r w:rsidR="009058B0">
              <w:rPr>
                <w:rFonts w:ascii="Cambria" w:eastAsia="Cambria" w:hAnsi="Cambria" w:cs="Cambria"/>
                <w:noProof/>
                <w:sz w:val="20"/>
                <w:szCs w:val="20"/>
                <w:lang w:val="id-ID"/>
              </w:rPr>
              <w:t>71</w:t>
            </w:r>
            <w:r w:rsidR="00645C36" w:rsidRPr="00423977">
              <w:rPr>
                <w:rFonts w:ascii="Cambria" w:eastAsia="Cambria" w:hAnsi="Cambria" w:cs="Cambria"/>
                <w:noProof/>
                <w:sz w:val="20"/>
                <w:szCs w:val="20"/>
                <w:lang w:val="id-ID"/>
              </w:rPr>
              <w:t>–</w:t>
            </w:r>
            <w:r w:rsidR="009058B0">
              <w:rPr>
                <w:rFonts w:ascii="Cambria" w:eastAsia="Cambria" w:hAnsi="Cambria" w:cs="Cambria"/>
                <w:noProof/>
                <w:sz w:val="20"/>
                <w:szCs w:val="20"/>
                <w:lang w:val="id-ID"/>
              </w:rPr>
              <w:t>8</w:t>
            </w:r>
            <w:r w:rsidR="00513B86">
              <w:rPr>
                <w:rFonts w:ascii="Cambria" w:eastAsia="Cambria" w:hAnsi="Cambria" w:cs="Cambria"/>
                <w:noProof/>
                <w:sz w:val="20"/>
                <w:szCs w:val="20"/>
                <w:lang w:val="id-ID"/>
              </w:rPr>
              <w:t>4</w:t>
            </w:r>
            <w:r w:rsidR="00645C36" w:rsidRPr="00423977">
              <w:rPr>
                <w:rFonts w:ascii="Cambria" w:eastAsia="Cambria" w:hAnsi="Cambria" w:cs="Cambria"/>
                <w:noProof/>
                <w:sz w:val="20"/>
                <w:szCs w:val="20"/>
                <w:lang w:val="id-ID"/>
              </w:rPr>
              <w:t xml:space="preserve">. </w:t>
            </w:r>
            <w:hyperlink r:id="rId14" w:history="1">
              <w:r w:rsidR="009058B0" w:rsidRPr="009058B0">
                <w:rPr>
                  <w:rStyle w:val="Hyperlink"/>
                  <w:rFonts w:ascii="Cambria" w:eastAsia="Cambria" w:hAnsi="Cambria" w:cs="Cambria"/>
                  <w:noProof/>
                  <w:color w:val="000000" w:themeColor="text1"/>
                  <w:sz w:val="20"/>
                  <w:u w:val="none"/>
                  <w:lang w:val="id-ID"/>
                </w:rPr>
                <w:t>https://doi.org/10.21093/sajie.v9i1.13569</w:t>
              </w:r>
            </w:hyperlink>
            <w:r w:rsidR="009058B0">
              <w:rPr>
                <w:rFonts w:ascii="Cambria" w:eastAsia="Cambria" w:hAnsi="Cambria" w:cs="Cambria"/>
                <w:noProof/>
                <w:color w:val="000000"/>
                <w:sz w:val="20"/>
                <w:lang w:val="id-ID"/>
              </w:rPr>
              <w:t xml:space="preserve"> </w:t>
            </w:r>
            <w:r>
              <w:rPr>
                <w:rFonts w:ascii="Cambria" w:eastAsia="Cambria" w:hAnsi="Cambria" w:cs="Cambria"/>
                <w:color w:val="000000"/>
                <w:sz w:val="20"/>
                <w:szCs w:val="20"/>
              </w:rPr>
              <w:t xml:space="preserve"> </w:t>
            </w:r>
          </w:p>
        </w:tc>
      </w:tr>
    </w:tbl>
    <w:p w14:paraId="5BBE75AC" w14:textId="77777777" w:rsidR="0039525E" w:rsidRDefault="00320985" w:rsidP="00367B8E">
      <w:pPr>
        <w:numPr>
          <w:ilvl w:val="0"/>
          <w:numId w:val="1"/>
        </w:numPr>
        <w:pBdr>
          <w:top w:val="nil"/>
          <w:left w:val="nil"/>
          <w:bottom w:val="nil"/>
          <w:right w:val="nil"/>
          <w:between w:val="nil"/>
        </w:pBdr>
        <w:spacing w:after="0" w:line="240" w:lineRule="auto"/>
        <w:ind w:left="426" w:right="71" w:hanging="426"/>
        <w:jc w:val="both"/>
        <w:rPr>
          <w:rFonts w:ascii="Cambria" w:eastAsia="Cambria" w:hAnsi="Cambria" w:cs="Cambria"/>
          <w:color w:val="000000"/>
          <w:sz w:val="24"/>
          <w:szCs w:val="24"/>
        </w:rPr>
      </w:pPr>
      <w:r>
        <w:rPr>
          <w:rFonts w:ascii="Cambria" w:eastAsia="Cambria" w:hAnsi="Cambria" w:cs="Cambria"/>
          <w:b/>
          <w:bCs/>
          <w:color w:val="000000"/>
          <w:sz w:val="24"/>
          <w:szCs w:val="24"/>
        </w:rPr>
        <w:lastRenderedPageBreak/>
        <w:t>Introduction</w:t>
      </w:r>
    </w:p>
    <w:p w14:paraId="123751EC" w14:textId="77777777" w:rsidR="00675633" w:rsidRDefault="00675633" w:rsidP="00675633">
      <w:pPr>
        <w:pBdr>
          <w:top w:val="nil"/>
          <w:left w:val="nil"/>
          <w:bottom w:val="nil"/>
          <w:right w:val="nil"/>
          <w:between w:val="nil"/>
        </w:pBdr>
        <w:spacing w:after="0" w:line="240" w:lineRule="auto"/>
        <w:ind w:left="426" w:right="71" w:firstLine="567"/>
        <w:jc w:val="both"/>
        <w:rPr>
          <w:rFonts w:ascii="Cambria" w:eastAsia="Cambria" w:hAnsi="Cambria" w:cs="Cambria"/>
          <w:color w:val="EE0000"/>
          <w:sz w:val="24"/>
          <w:szCs w:val="24"/>
        </w:rPr>
      </w:pPr>
      <w:r w:rsidRPr="00675633">
        <w:rPr>
          <w:rFonts w:ascii="Cambria" w:eastAsia="Times New Roman" w:hAnsi="Cambria" w:cstheme="majorBidi"/>
          <w:sz w:val="24"/>
          <w:szCs w:val="24"/>
        </w:rPr>
        <w:t xml:space="preserve">Islamic Religious Education (PAI) is not merely a subject that requires students to memorize texts and religious arguments; it also serves as a means of character and moral formation from the primary education level. At the madrasah </w:t>
      </w:r>
      <w:proofErr w:type="spellStart"/>
      <w:r w:rsidRPr="00675633">
        <w:rPr>
          <w:rFonts w:ascii="Cambria" w:eastAsia="Times New Roman" w:hAnsi="Cambria" w:cstheme="majorBidi"/>
          <w:sz w:val="24"/>
          <w:szCs w:val="24"/>
        </w:rPr>
        <w:t>ibtidaiyah</w:t>
      </w:r>
      <w:proofErr w:type="spellEnd"/>
      <w:r w:rsidRPr="00675633">
        <w:rPr>
          <w:rFonts w:ascii="Cambria" w:eastAsia="Times New Roman" w:hAnsi="Cambria" w:cstheme="majorBidi"/>
          <w:sz w:val="24"/>
          <w:szCs w:val="24"/>
        </w:rPr>
        <w:t xml:space="preserve"> (MI) level, PAI learning should ideally foster both deep understanding and the internalization of Islamic values in students’ daily lives. To achieve this goal, an effective, varied, and experiential learning process is an essential need that cannot be overlooked </w:t>
      </w:r>
      <w:r w:rsidRPr="00675633">
        <w:rPr>
          <w:rFonts w:ascii="Cambria" w:eastAsia="Times New Roman" w:hAnsi="Cambria" w:cstheme="majorBidi"/>
          <w:sz w:val="24"/>
          <w:szCs w:val="24"/>
        </w:rPr>
        <w:fldChar w:fldCharType="begin" w:fldLock="1"/>
      </w:r>
      <w:r w:rsidRPr="00675633">
        <w:rPr>
          <w:rFonts w:ascii="Cambria" w:eastAsia="Times New Roman" w:hAnsi="Cambria" w:cstheme="majorBidi"/>
          <w:sz w:val="24"/>
          <w:szCs w:val="24"/>
        </w:rPr>
        <w:instrText>ADDIN CSL_CITATION {"citationItems":[{"id":"ITEM-1","itemData":{"DOI":"10.15575/IJNI.V11I2.29960","ISSN":"2355-651X","abstract":"The progression of science and technology has ushered in an era where knowledge, technology, and information have become inextricably intertwined with the realm of education. This prevailing reality underscores the imperative for Islamic universities to proficiently institute pedagogical management strategies. The primary objective of this study is to comprehensively examine and critically analyze the pivotal role of technology-driven digital learning within the domain of Islamic Religious Education (PAI). To achieve this objective, the study employs a qualitative research approach, utilizing the methodology of a thorough literature review. The findings of this research assert that the incorporation of digital technology in the realm of Islamic Religious Education unequivocally augments the overall quality of the educational experience while concurrently enhancing student engagement. It is imperative to recognize that educators, particularly lecturers, wield a pivotal influence in cultivating the requisite proficiencies and knowledge base among students. The innovation encompassed within technology-based digital learning encompasses the stages of discovery, development, and dissemination of digital technology utilization. The components encompassing digital content, curriculum design, faculty training, and the requisite supporting infrastructure collectively constitute indispensable facets in the evolution of digital technology. Inarguably, digital technology serves as an instrumental catalyst in heightening student engagement and optimizing the efficacy of the learning process. However, it is of paramount significance to underscore that the role of lecturers remains pivotal, as they assume the multifaceted functions of facilitators and adept learning managers","author":[{"dropping-particle":"","family":"Firdaus","given":"Ahmad","non-dropping-particle":"","parse-names":false,"suffix":""},{"dropping-particle":"","family":"Amrullah","given":"Amar","non-dropping-particle":"","parse-names":false,"suffix":""},{"dropping-particle":"","family":"Robiatul Adawiyah","given":"Lelly","non-dropping-particle":"","parse-names":false,"suffix":""},{"dropping-particle":"","family":"Yuliati Zakiah","given":"Qiqi","non-dropping-particle":"","parse-names":false,"suffix":""},{"dropping-particle":"","family":"Al-Masthuriyah Sukabumi","given":"Stai","non-dropping-particle":"","parse-names":false,"suffix":""},{"dropping-particle":"","family":"Gunung","given":"Sunan","non-dropping-particle":"","parse-names":false,"suffix":""}],"container-title":"International Journal of Nusantara Islam","id":"ITEM-1","issue":"2","issued":{"date-parts":[["2023","10","9"]]},"page":"206-2018","publisher":"Sunan Gunung Djati State Islamic University of Bandung","title":"Enhancing Learning Quality and Student Engagement: Utilizing Digital Technology in Islamic Education","type":"article-journal","volume":"11"},"uris":["http://www.mendeley.com/documents/?uuid=8100fc51-c483-340b-9082-0bdd6832c2bd"]}],"mendeley":{"formattedCitation":"(A. Firdaus et al., 2023)","plainTextFormattedCitation":"(A. Firdaus et al., 2023)","previouslyFormattedCitation":"(A. Firdaus et al., 2023)"},"properties":{"noteIndex":0},"schema":"https://github.com/citation-style-language/schema/raw/master/csl-citation.json"}</w:instrText>
      </w:r>
      <w:r w:rsidRPr="00675633">
        <w:rPr>
          <w:rFonts w:ascii="Cambria" w:eastAsia="Times New Roman" w:hAnsi="Cambria" w:cstheme="majorBidi"/>
          <w:sz w:val="24"/>
          <w:szCs w:val="24"/>
        </w:rPr>
        <w:fldChar w:fldCharType="separate"/>
      </w:r>
      <w:r w:rsidRPr="00675633">
        <w:rPr>
          <w:rFonts w:ascii="Cambria" w:eastAsia="Times New Roman" w:hAnsi="Cambria" w:cstheme="majorBidi"/>
          <w:noProof/>
          <w:sz w:val="24"/>
          <w:szCs w:val="24"/>
        </w:rPr>
        <w:t>(A. Firdaus et al., 2023)</w:t>
      </w:r>
      <w:r w:rsidRPr="00675633">
        <w:rPr>
          <w:rFonts w:ascii="Cambria" w:eastAsia="Times New Roman" w:hAnsi="Cambria" w:cstheme="majorBidi"/>
          <w:sz w:val="24"/>
          <w:szCs w:val="24"/>
        </w:rPr>
        <w:fldChar w:fldCharType="end"/>
      </w:r>
      <w:r w:rsidRPr="00675633">
        <w:rPr>
          <w:rFonts w:ascii="Cambria" w:eastAsia="Times New Roman" w:hAnsi="Cambria" w:cstheme="majorBidi"/>
          <w:sz w:val="24"/>
          <w:szCs w:val="24"/>
          <w:lang w:val="id-ID"/>
        </w:rPr>
        <w:t>.</w:t>
      </w:r>
      <w:r w:rsidRPr="00675633">
        <w:rPr>
          <w:rFonts w:ascii="Cambria" w:eastAsia="Times New Roman" w:hAnsi="Cambria" w:cstheme="majorBidi"/>
          <w:sz w:val="24"/>
          <w:szCs w:val="24"/>
        </w:rPr>
        <w:t xml:space="preserve"> </w:t>
      </w:r>
    </w:p>
    <w:p w14:paraId="1D544972" w14:textId="77777777" w:rsidR="00675633" w:rsidRDefault="00675633" w:rsidP="00675633">
      <w:pPr>
        <w:pBdr>
          <w:top w:val="nil"/>
          <w:left w:val="nil"/>
          <w:bottom w:val="nil"/>
          <w:right w:val="nil"/>
          <w:between w:val="nil"/>
        </w:pBdr>
        <w:spacing w:after="0" w:line="240" w:lineRule="auto"/>
        <w:ind w:left="426" w:right="71" w:firstLine="567"/>
        <w:jc w:val="both"/>
        <w:rPr>
          <w:rFonts w:ascii="Cambria" w:eastAsia="Cambria" w:hAnsi="Cambria" w:cs="Cambria"/>
          <w:color w:val="EE0000"/>
          <w:sz w:val="24"/>
          <w:szCs w:val="24"/>
        </w:rPr>
      </w:pPr>
      <w:r w:rsidRPr="00675633">
        <w:rPr>
          <w:rFonts w:ascii="Cambria" w:eastAsia="Times New Roman" w:hAnsi="Cambria" w:cstheme="majorBidi"/>
          <w:sz w:val="24"/>
          <w:szCs w:val="24"/>
        </w:rPr>
        <w:t>Field realities show that many students encounter obstacles in learning PAI, mainly because the teaching methods used still predominantly rely on one-way lectures. In fact, PAI materials such as Qur’anic recitation, tajwid, and exemplary stories of the prophets require audio-visual media so that messages can be received more concretely by students. Without adequate media support, PAI learning tends to feel abstract and monotonous, which in turn affects students’ motivation and learning outcomes</w:t>
      </w:r>
      <w:r w:rsidRPr="00675633">
        <w:rPr>
          <w:rFonts w:ascii="Cambria" w:eastAsia="Times New Roman" w:hAnsi="Cambria" w:cstheme="majorBidi"/>
          <w:sz w:val="24"/>
          <w:szCs w:val="24"/>
          <w:lang w:val="id-ID"/>
        </w:rPr>
        <w:t xml:space="preserve"> </w:t>
      </w:r>
      <w:r w:rsidRPr="00675633">
        <w:rPr>
          <w:rFonts w:ascii="Cambria" w:eastAsia="Times New Roman" w:hAnsi="Cambria" w:cstheme="majorBidi"/>
          <w:sz w:val="24"/>
          <w:szCs w:val="24"/>
          <w:lang w:val="id-ID"/>
        </w:rPr>
        <w:fldChar w:fldCharType="begin" w:fldLock="1"/>
      </w:r>
      <w:r w:rsidRPr="00675633">
        <w:rPr>
          <w:rFonts w:ascii="Cambria" w:eastAsia="Times New Roman" w:hAnsi="Cambria" w:cstheme="majorBidi"/>
          <w:sz w:val="24"/>
          <w:szCs w:val="24"/>
          <w:lang w:val="id-ID"/>
        </w:rPr>
        <w:instrText>ADDIN CSL_CITATION {"citationItems":[{"id":"ITEM-1","itemData":{"author":[{"dropping-particle":"","family":"Rusdi","given":"H.","non-dropping-particle":"","parse-names":false,"suffix":""},{"dropping-particle":"","family":"Ervianti","given":"R.","non-dropping-particle":"","parse-names":false,"suffix":""},{"dropping-particle":"","family":"Adrias","given":"A.","non-dropping-particle":"","parse-names":false,"suffix":""},{"dropping-particle":"","family":"Zulkarnaini","given":"A. P.","non-dropping-particle":"","parse-names":false,"suffix":""}],"container-title":"Pendas: Jurnal Ilmiah Pendidikan DasarPP8","id":"ITEM-1","issue":"2","issued":{"date-parts":[["2025"]]},"page":"347–360","title":"Pengaruh Media Pembelajaran Digital Terhadap Motivasi Belajar Siswa Sekolah Dasar","type":"article-journal","volume":"10"},"uris":["http://www.mendeley.com/documents/?uuid=2686c43e-f27e-4cd1-bdc3-e50d83a28cc1"]}],"mendeley":{"formattedCitation":"(Rusdi et al., 2025)","plainTextFormattedCitation":"(Rusdi et al., 2025)","previouslyFormattedCitation":"(Rusdi et al., 2025)"},"properties":{"noteIndex":0},"schema":"https://github.com/citation-style-language/schema/raw/master/csl-citation.json"}</w:instrText>
      </w:r>
      <w:r w:rsidRPr="00675633">
        <w:rPr>
          <w:rFonts w:ascii="Cambria" w:eastAsia="Times New Roman" w:hAnsi="Cambria" w:cstheme="majorBidi"/>
          <w:sz w:val="24"/>
          <w:szCs w:val="24"/>
          <w:lang w:val="id-ID"/>
        </w:rPr>
        <w:fldChar w:fldCharType="separate"/>
      </w:r>
      <w:r w:rsidRPr="00675633">
        <w:rPr>
          <w:rFonts w:ascii="Cambria" w:eastAsia="Times New Roman" w:hAnsi="Cambria" w:cstheme="majorBidi"/>
          <w:noProof/>
          <w:sz w:val="24"/>
          <w:szCs w:val="24"/>
          <w:lang w:val="id-ID"/>
        </w:rPr>
        <w:t>(Rusdi et al., 2025)</w:t>
      </w:r>
      <w:r w:rsidRPr="00675633">
        <w:rPr>
          <w:rFonts w:ascii="Cambria" w:eastAsia="Times New Roman" w:hAnsi="Cambria" w:cstheme="majorBidi"/>
          <w:sz w:val="24"/>
          <w:szCs w:val="24"/>
          <w:lang w:val="id-ID"/>
        </w:rPr>
        <w:fldChar w:fldCharType="end"/>
      </w:r>
      <w:r w:rsidRPr="00675633">
        <w:rPr>
          <w:rFonts w:ascii="Cambria" w:eastAsia="Times New Roman" w:hAnsi="Cambria" w:cstheme="majorBidi"/>
          <w:sz w:val="24"/>
          <w:szCs w:val="24"/>
        </w:rPr>
        <w:t xml:space="preserve">. </w:t>
      </w:r>
    </w:p>
    <w:p w14:paraId="63714D59" w14:textId="6AA5CA84" w:rsidR="00675633" w:rsidRDefault="00675633" w:rsidP="00675633">
      <w:pPr>
        <w:pBdr>
          <w:top w:val="nil"/>
          <w:left w:val="nil"/>
          <w:bottom w:val="nil"/>
          <w:right w:val="nil"/>
          <w:between w:val="nil"/>
        </w:pBdr>
        <w:spacing w:after="0" w:line="240" w:lineRule="auto"/>
        <w:ind w:left="426" w:right="71" w:firstLine="567"/>
        <w:jc w:val="both"/>
        <w:rPr>
          <w:rFonts w:ascii="Cambria" w:eastAsia="Cambria" w:hAnsi="Cambria" w:cs="Cambria"/>
          <w:color w:val="EE0000"/>
          <w:sz w:val="24"/>
          <w:szCs w:val="24"/>
        </w:rPr>
      </w:pPr>
      <w:r w:rsidRPr="00675633">
        <w:rPr>
          <w:rFonts w:ascii="Cambria" w:eastAsia="Times New Roman" w:hAnsi="Cambria" w:cstheme="majorBidi"/>
          <w:sz w:val="24"/>
          <w:szCs w:val="24"/>
        </w:rPr>
        <w:t xml:space="preserve">In this digital era, online tutoring has emerged as one possible solution to these challenges. Students no longer need to be physically present; they can access learning materials anytime and anywhere using internet-connected devices.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which is widely recognized as one of the leading online tutoring platforms in Indonesia, has become a preferred choice among families to help children improve their learning outcomes. </w:t>
      </w:r>
      <w:r w:rsidR="00513B86" w:rsidRPr="00513B86">
        <w:rPr>
          <w:rFonts w:ascii="Cambria" w:eastAsia="Times New Roman" w:hAnsi="Cambria" w:cstheme="majorBidi"/>
          <w:sz w:val="24"/>
          <w:szCs w:val="24"/>
        </w:rPr>
        <w:t>The platform offers several advantages, including structured content, self-assessment features, and learning progress reports that parents can monitor regularly</w:t>
      </w:r>
      <w:r w:rsidRPr="00675633">
        <w:rPr>
          <w:rFonts w:ascii="Cambria" w:eastAsia="Times New Roman" w:hAnsi="Cambria" w:cstheme="majorBidi"/>
          <w:sz w:val="24"/>
          <w:szCs w:val="24"/>
        </w:rPr>
        <w:t xml:space="preserve"> </w:t>
      </w:r>
      <w:r w:rsidRPr="00675633">
        <w:rPr>
          <w:rFonts w:ascii="Cambria" w:eastAsia="Times New Roman" w:hAnsi="Cambria" w:cstheme="majorBidi"/>
          <w:sz w:val="24"/>
          <w:szCs w:val="24"/>
        </w:rPr>
        <w:fldChar w:fldCharType="begin" w:fldLock="1"/>
      </w:r>
      <w:r w:rsidRPr="00675633">
        <w:rPr>
          <w:rFonts w:ascii="Cambria" w:eastAsia="Times New Roman" w:hAnsi="Cambria" w:cstheme="majorBidi"/>
          <w:sz w:val="24"/>
          <w:szCs w:val="24"/>
        </w:rPr>
        <w:instrText>ADDIN CSL_CITATION {"citationItems":[{"id":"ITEM-1","itemData":{"DOI":"https://doi.org/10.33474/jpmi.v7i2.28969","author":[{"dropping-particle":"","family":"Habsia, A., Ertanti","given":"D. W.","non-dropping-particle":"","parse-names":false,"suffix":""},{"dropping-particle":"","family":"Zakaria","given":"Z.","non-dropping-particle":"","parse-names":false,"suffix":""}],"container-title":"JPMI: Jurnal Pendidikan Madrasah Ibtidaiyah","id":"ITEM-1","issue":"2","issued":{"date-parts":[["2025"]]},"page":"1-14","title":"Implementasi Pembelajaran Berbasis E-learning Madrasah dalam Membentuk Kemandirian Belajar Siswa Jenjang Kelas atas di MIN 1 Kota Malang.","type":"article-journal","volume":"7"},"uris":["http://www.mendeley.com/documents/?uuid=414a2873-c493-4599-ad96-4d34e0957057"]}],"mendeley":{"formattedCitation":"(Habsia, A., Ertanti &amp; Zakaria, 2025)","plainTextFormattedCitation":"(Habsia, A., Ertanti &amp; Zakaria, 2025)","previouslyFormattedCitation":"(Habsia, A., Ertanti &amp; Zakaria, 2025)"},"properties":{"noteIndex":0},"schema":"https://github.com/citation-style-language/schema/raw/master/csl-citation.json"}</w:instrText>
      </w:r>
      <w:r w:rsidRPr="00675633">
        <w:rPr>
          <w:rFonts w:ascii="Cambria" w:eastAsia="Times New Roman" w:hAnsi="Cambria" w:cstheme="majorBidi"/>
          <w:sz w:val="24"/>
          <w:szCs w:val="24"/>
        </w:rPr>
        <w:fldChar w:fldCharType="separate"/>
      </w:r>
      <w:r w:rsidRPr="00675633">
        <w:rPr>
          <w:rFonts w:ascii="Cambria" w:eastAsia="Times New Roman" w:hAnsi="Cambria" w:cstheme="majorBidi"/>
          <w:noProof/>
          <w:sz w:val="24"/>
          <w:szCs w:val="24"/>
        </w:rPr>
        <w:t>(Habsia et al</w:t>
      </w:r>
      <w:r w:rsidR="00513B86">
        <w:rPr>
          <w:rFonts w:ascii="Cambria" w:eastAsia="Times New Roman" w:hAnsi="Cambria" w:cstheme="majorBidi"/>
          <w:noProof/>
          <w:sz w:val="24"/>
          <w:szCs w:val="24"/>
        </w:rPr>
        <w:t>.</w:t>
      </w:r>
      <w:r w:rsidRPr="00675633">
        <w:rPr>
          <w:rFonts w:ascii="Cambria" w:eastAsia="Times New Roman" w:hAnsi="Cambria" w:cstheme="majorBidi"/>
          <w:noProof/>
          <w:sz w:val="24"/>
          <w:szCs w:val="24"/>
        </w:rPr>
        <w:t>, 2025)</w:t>
      </w:r>
      <w:r w:rsidRPr="00675633">
        <w:rPr>
          <w:rFonts w:ascii="Cambria" w:eastAsia="Times New Roman" w:hAnsi="Cambria" w:cstheme="majorBidi"/>
          <w:sz w:val="24"/>
          <w:szCs w:val="24"/>
        </w:rPr>
        <w:fldChar w:fldCharType="end"/>
      </w:r>
      <w:r w:rsidRPr="00675633">
        <w:rPr>
          <w:rFonts w:ascii="Cambria" w:eastAsia="Times New Roman" w:hAnsi="Cambria" w:cstheme="majorBidi"/>
          <w:sz w:val="24"/>
          <w:szCs w:val="24"/>
        </w:rPr>
        <w:t xml:space="preserve">. </w:t>
      </w:r>
    </w:p>
    <w:p w14:paraId="15BA2F36" w14:textId="77777777" w:rsidR="00675633" w:rsidRDefault="00675633" w:rsidP="00675633">
      <w:pPr>
        <w:pBdr>
          <w:top w:val="nil"/>
          <w:left w:val="nil"/>
          <w:bottom w:val="nil"/>
          <w:right w:val="nil"/>
          <w:between w:val="nil"/>
        </w:pBdr>
        <w:spacing w:after="0" w:line="240" w:lineRule="auto"/>
        <w:ind w:left="426" w:right="71" w:firstLine="567"/>
        <w:jc w:val="both"/>
        <w:rPr>
          <w:rFonts w:ascii="Cambria" w:eastAsia="Times New Roman" w:hAnsi="Cambria" w:cstheme="majorBidi"/>
          <w:sz w:val="24"/>
          <w:szCs w:val="24"/>
        </w:rPr>
      </w:pPr>
      <w:r w:rsidRPr="00675633">
        <w:rPr>
          <w:rFonts w:ascii="Cambria" w:eastAsia="Times New Roman" w:hAnsi="Cambria" w:cstheme="majorBidi"/>
          <w:sz w:val="24"/>
          <w:szCs w:val="24"/>
        </w:rPr>
        <w:t xml:space="preserve">Although research on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has developed quite rapidly, most existing studies still focus on general subjects, particularly Mathematics and Natural Sciences, while studies in other fields remain relatively limited. Several studies, for instance, have examined the effectiveness of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in improving mathematics learning outcomes </w:t>
      </w:r>
      <w:r w:rsidRPr="00675633">
        <w:rPr>
          <w:rFonts w:ascii="Cambria" w:eastAsia="Times New Roman" w:hAnsi="Cambria" w:cstheme="majorBidi"/>
          <w:sz w:val="24"/>
          <w:szCs w:val="24"/>
          <w:lang w:val="id-ID"/>
        </w:rPr>
        <w:fldChar w:fldCharType="begin" w:fldLock="1"/>
      </w:r>
      <w:r w:rsidRPr="00675633">
        <w:rPr>
          <w:rFonts w:ascii="Cambria" w:eastAsia="Times New Roman" w:hAnsi="Cambria" w:cstheme="majorBidi"/>
          <w:sz w:val="24"/>
          <w:szCs w:val="24"/>
          <w:lang w:val="id-ID"/>
        </w:rPr>
        <w:instrText>ADDIN CSL_CITATION {"citationItems":[{"id":"ITEM-1","itemData":{"DOI":"10.24090/IJRME.V2I1.8948","ISSN":"3025-1842","abstract":"The aim of the research is to determine the effectiveness of the problem-based learning model with the help of Ruangguru application to improve students' mathematical problem-solving skills. This study is a quasi-experimental research ( quasy -experimental design) with a quantitative approach. The design of this study is Nonequivalent Control Group Design. The population in this study were students of grade VIII SMP Negeri 2 Ajibarang and the samples used were taken by simple random sampling technique and the sample results obtained were students of grade VIII A (as a control class) and grade VIII B (as an experimental class) a total of 64 students. The instrument used in this study is a description test consisting of pretest and posttest. The results of this study are the average value of the ability to solve mathematical problems of students who are subject to the problem-based learning model assisted Ruangguru application more than not subject to the learning model is seen from the independent samples t test with the results of significance 0.000 ≤0.05then there is a significant difference in mathematical problem-solving abilities of experimental and control class students. Ruangguru's problem-based learning model is effective to improve the ability to solve mathematical problems by obtaining the average n-gain test in the experimental class of 60.96% with a fairly effective interpretation and control class of 20%with in effective interpretation. ","author":[{"dropping-particle":"","family":"Ariyani","given":"Dewi","non-dropping-particle":"","parse-names":false,"suffix":""},{"dropping-particle":"","family":"Setiaji","given":"Heru Agni","non-dropping-particle":"","parse-names":false,"suffix":""}],"container-title":"International Journal of Research in Mathematics Education","id":"ITEM-1","issue":"1","issued":{"date-parts":[["2024","7","31"]]},"page":"15-26","publisher":"UIN Prof. K.H. Saifuddin Zuhri","title":"Effectiveness of The Problem-based Learning Model Assisted with Ruangguru Application on Increasing Students' Mathematical Problem Solving Ability","type":"article-journal","volume":"2"},"uris":["http://www.mendeley.com/documents/?uuid=a5e2cb66-bf94-3c5c-8915-3d7ed65d40f4"]}],"mendeley":{"formattedCitation":"(Ariyani &amp; Setiaji, 2024)","plainTextFormattedCitation":"(Ariyani &amp; Setiaji, 2024)","previouslyFormattedCitation":"(Ariyani &amp; Setiaji, 2024)"},"properties":{"noteIndex":0},"schema":"https://github.com/citation-style-language/schema/raw/master/csl-citation.json"}</w:instrText>
      </w:r>
      <w:r w:rsidRPr="00675633">
        <w:rPr>
          <w:rFonts w:ascii="Cambria" w:eastAsia="Times New Roman" w:hAnsi="Cambria" w:cstheme="majorBidi"/>
          <w:sz w:val="24"/>
          <w:szCs w:val="24"/>
          <w:lang w:val="id-ID"/>
        </w:rPr>
        <w:fldChar w:fldCharType="separate"/>
      </w:r>
      <w:r w:rsidRPr="00675633">
        <w:rPr>
          <w:rFonts w:ascii="Cambria" w:eastAsia="Times New Roman" w:hAnsi="Cambria" w:cstheme="majorBidi"/>
          <w:noProof/>
          <w:sz w:val="24"/>
          <w:szCs w:val="24"/>
          <w:lang w:val="id-ID"/>
        </w:rPr>
        <w:t xml:space="preserve">(Ariyani &amp; Setiaji, 2024; </w:t>
      </w:r>
      <w:r w:rsidRPr="00675633">
        <w:rPr>
          <w:rFonts w:ascii="Cambria" w:eastAsia="Times New Roman" w:hAnsi="Cambria" w:cstheme="majorBidi"/>
          <w:sz w:val="24"/>
          <w:szCs w:val="24"/>
        </w:rPr>
        <w:fldChar w:fldCharType="begin" w:fldLock="1"/>
      </w:r>
      <w:r w:rsidRPr="00675633">
        <w:rPr>
          <w:rFonts w:ascii="Cambria" w:eastAsia="Times New Roman" w:hAnsi="Cambria" w:cstheme="majorBidi"/>
          <w:sz w:val="24"/>
          <w:szCs w:val="24"/>
          <w:lang w:val="sv-SE"/>
        </w:rPr>
        <w:instrText>ADDIN CSL_CITATION {"citationItems":[{"id":"ITEM-1","itemData":{"DOI":"10.26858/PJPPSD.V2I3.36018","ISSN":"2807-7016","abstract":"This research is a type of quantitative research with a pre-experimental research design. The purpose of this study was to determine students' mathematics learning outcomes and to find out the significant differences before and after using the Ruangguru application media. The research design used was One-Group Pretest-Posttest Design.. Data collection techniques are learning outcomes tests to measure student learning outcomes before and after using the Ruangguru application media. The data analysis used is descriptive statistical analysis which obtains an average pretest of 30.33 which shows student learning outcomes before learning using the Ruangguru application media are in the less category and the posttest average is 80.83 which indicates that student learning outcomes after learning using the Ruangguru application media was in the good category, and inferential statistical analysis obtained N-Gain data, namely 0.7301 which was included in the high category. The results of the study showed that there were significant differences before and after learning using the Ruangguru application media on the mathematics learning outcomes of fifth grade students at SDN 146 Bengo, Bone   Regency.","author":[{"dropping-particle":"","family":"Muin","given":"Awaluddin","non-dropping-particle":"","parse-names":false,"suffix":""},{"dropping-particle":"","family":"Firdaus","given":"Firdaus","non-dropping-particle":"","parse-names":false,"suffix":""},{"dropping-particle":"","family":"Shari","given":"Asmira Mira","non-dropping-particle":"","parse-names":false,"suffix":""}],"container-title":"JPPSD: Jurnal Pendidikan dan Pembelajaran Sekolah Dasar","id":"ITEM-1","issue":"3","issued":{"date-parts":[["2022","10","13"]]},"page":"374-382","publisher":"Universitas Negeri Makassar","title":"Efektivitas Media Aplikasi Ruangguru terhadap Hasil Belajar Matematika Siswa Kelas V SDN 146 Bengo Kecamatan Bengo Kabupaten Bone","type":"article-journal","volume":"2"},"uris":["http://www.mendeley.com/documents/?uuid=7d39853e-163e-3dea-949d-f8bb1dfa02f9"]}],"mendeley":{"formattedCitation":"(Muin et al., 2022)","plainTextFormattedCitation":"(Muin et al., 2022)","previouslyFormattedCitation":"(Muin et al., 2022)"},"properties":{"noteIndex":0},"schema":"https://github.com/citation-style-language/schema/raw/master/csl-citation.json"}</w:instrText>
      </w:r>
      <w:r w:rsidRPr="00675633">
        <w:rPr>
          <w:rFonts w:ascii="Cambria" w:eastAsia="Times New Roman" w:hAnsi="Cambria" w:cstheme="majorBidi"/>
          <w:sz w:val="24"/>
          <w:szCs w:val="24"/>
        </w:rPr>
        <w:fldChar w:fldCharType="separate"/>
      </w:r>
      <w:r w:rsidRPr="00675633">
        <w:rPr>
          <w:rFonts w:ascii="Cambria" w:eastAsia="Times New Roman" w:hAnsi="Cambria" w:cstheme="majorBidi"/>
          <w:noProof/>
          <w:sz w:val="24"/>
          <w:szCs w:val="24"/>
          <w:lang w:val="sv-SE"/>
        </w:rPr>
        <w:t>Muin et al., 2022</w:t>
      </w:r>
      <w:r w:rsidRPr="00675633">
        <w:rPr>
          <w:rFonts w:ascii="Cambria" w:eastAsia="Times New Roman" w:hAnsi="Cambria" w:cstheme="majorBidi"/>
          <w:sz w:val="24"/>
          <w:szCs w:val="24"/>
        </w:rPr>
        <w:fldChar w:fldCharType="end"/>
      </w:r>
      <w:r w:rsidRPr="00675633">
        <w:rPr>
          <w:rFonts w:ascii="Cambria" w:eastAsia="Times New Roman" w:hAnsi="Cambria" w:cstheme="majorBidi"/>
          <w:sz w:val="24"/>
          <w:szCs w:val="24"/>
          <w:lang w:val="id-ID"/>
        </w:rPr>
        <w:t xml:space="preserve">; </w:t>
      </w:r>
      <w:r w:rsidRPr="00675633">
        <w:rPr>
          <w:rFonts w:ascii="Cambria" w:eastAsia="Times New Roman" w:hAnsi="Cambria" w:cstheme="majorBidi"/>
          <w:sz w:val="24"/>
          <w:szCs w:val="24"/>
          <w:lang w:val="id-ID"/>
        </w:rPr>
        <w:fldChar w:fldCharType="begin" w:fldLock="1"/>
      </w:r>
      <w:r w:rsidRPr="00675633">
        <w:rPr>
          <w:rFonts w:ascii="Cambria" w:eastAsia="Times New Roman" w:hAnsi="Cambria" w:cstheme="majorBidi"/>
          <w:sz w:val="24"/>
          <w:szCs w:val="24"/>
          <w:lang w:val="id-ID"/>
        </w:rPr>
        <w:instrText>ADDIN CSL_CITATION {"citationItems":[{"id":"ITEM-1","itemData":{"DOI":"10.22373/JI.V7I01.9919","ISSN":"3110-7443","abstract":"Proses pembelajaran di kelas secara tatap muka mulai kehilangan dayatariknya di era 21 ini. Untuk mengakomodasi perkembangan teknologi tanpa harus meninggalkan pembelajaran secara tatap muka, blended learning dapat menjadi solusinya. Blended learning adalah model yang mengkombinasikan pembelajaran tatap muka dengan pembelajaran e-learning. Rumusan masalahnya adalah “Bagaimanakah model pembelajaran blended learning berbasis bimbel online “RuangGuru ” dapatmeningkatkan kemandirian belajar dan hasil belajar matematika peserta didik MAN 1 Aceh Besar?”. Subjek kegiatan pembelajaran ini adalah seluruh peserta didik kelas XII MIA di MAN 1 Aceh Besar yang berjumlah 83 orang, terdiri dari 66 peserta didik perempuan dan 17 laki-laki. Sedangkan yang menjadi objek tindakan adalah kemandirian belajar dan hasil belajar peserta didik. Kesimpulan dari penulisan ini adalah pembelajaranblended learning berbasis bimbel online “RuangGuru ” dapat meningkatkan kemandirian belajar dan hasil belajar matematika peserta didik MAN1 Aceh Besar. Kemandirian belajar yang dimaksud terletak pada aspek strategi, motivasi, dan aspek perencanaan dalam pembelajaran. Peserta didik juga sangat antusias dengan pembelajaran blended learning berbasis bimbel online “Ruang Guru ”.","author":[{"dropping-particle":"","family":"Ulfa","given":"Maria","non-dropping-particle":"","parse-names":false,"suffix":""}],"container-title":"Intelektualita: Journal of Education Sciences and Teacher Training","id":"ITEM-1","issue":"01","issued":{"date-parts":[["2021"]]},"title":"BLENDED LEARNING BERBASIS BIMBEL ONLINE “RUANGGURU” DALAM MENINGKATKAN KEMANDIRIAN BELAJAR DAN HASIL BELAJAR MATEMATIKA DI MAN 1 ACEH BESAR","type":"article-journal","volume":"7"},"uris":["http://www.mendeley.com/documents/?uuid=4175f7fc-f0f8-3bae-b98d-6c6b1f104717"]}],"mendeley":{"formattedCitation":"(Ulfa, 2021)","plainTextFormattedCitation":"(Ulfa, 2021)","previouslyFormattedCitation":"(Ulfa, 2021)"},"properties":{"noteIndex":0},"schema":"https://github.com/citation-style-language/schema/raw/master/csl-citation.json"}</w:instrText>
      </w:r>
      <w:r w:rsidRPr="00675633">
        <w:rPr>
          <w:rFonts w:ascii="Cambria" w:eastAsia="Times New Roman" w:hAnsi="Cambria" w:cstheme="majorBidi"/>
          <w:sz w:val="24"/>
          <w:szCs w:val="24"/>
          <w:lang w:val="id-ID"/>
        </w:rPr>
        <w:fldChar w:fldCharType="separate"/>
      </w:r>
      <w:r w:rsidRPr="00675633">
        <w:rPr>
          <w:rFonts w:ascii="Cambria" w:eastAsia="Times New Roman" w:hAnsi="Cambria" w:cstheme="majorBidi"/>
          <w:noProof/>
          <w:sz w:val="24"/>
          <w:szCs w:val="24"/>
          <w:lang w:val="id-ID"/>
        </w:rPr>
        <w:t>Ulfa, 2021)</w:t>
      </w:r>
      <w:r w:rsidRPr="00675633">
        <w:rPr>
          <w:rFonts w:ascii="Cambria" w:eastAsia="Times New Roman" w:hAnsi="Cambria" w:cstheme="majorBidi"/>
          <w:sz w:val="24"/>
          <w:szCs w:val="24"/>
          <w:lang w:val="id-ID"/>
        </w:rPr>
        <w:fldChar w:fldCharType="end"/>
      </w:r>
      <w:r w:rsidRPr="00675633">
        <w:rPr>
          <w:rFonts w:ascii="Cambria" w:eastAsia="Times New Roman" w:hAnsi="Cambria" w:cstheme="majorBidi"/>
          <w:sz w:val="24"/>
          <w:szCs w:val="24"/>
          <w:lang w:val="id-ID"/>
        </w:rPr>
        <w:t>.</w:t>
      </w:r>
      <w:r w:rsidRPr="00675633">
        <w:rPr>
          <w:rFonts w:ascii="Cambria" w:eastAsia="Times New Roman" w:hAnsi="Cambria" w:cstheme="majorBidi"/>
          <w:sz w:val="24"/>
          <w:szCs w:val="24"/>
          <w:lang w:val="id-ID"/>
        </w:rPr>
        <w:fldChar w:fldCharType="end"/>
      </w:r>
      <w:r w:rsidRPr="00675633">
        <w:rPr>
          <w:rFonts w:ascii="Cambria" w:eastAsia="Times New Roman" w:hAnsi="Cambria" w:cstheme="majorBidi"/>
          <w:sz w:val="24"/>
          <w:szCs w:val="24"/>
          <w:lang w:val="id-ID"/>
        </w:rPr>
        <w:t xml:space="preserve"> </w:t>
      </w:r>
      <w:r w:rsidRPr="00675633">
        <w:rPr>
          <w:rFonts w:ascii="Cambria" w:eastAsia="Times New Roman" w:hAnsi="Cambria" w:cstheme="majorBidi"/>
          <w:sz w:val="24"/>
          <w:szCs w:val="24"/>
          <w:lang w:val="sv-SE"/>
        </w:rPr>
        <w:t xml:space="preserve">Other studies have discussed the use of digital learning media in broader educational contexts </w:t>
      </w:r>
      <w:r w:rsidRPr="00675633">
        <w:rPr>
          <w:rFonts w:ascii="Cambria" w:eastAsia="Times New Roman" w:hAnsi="Cambria" w:cstheme="majorBidi"/>
          <w:sz w:val="24"/>
          <w:szCs w:val="24"/>
        </w:rPr>
        <w:fldChar w:fldCharType="begin" w:fldLock="1"/>
      </w:r>
      <w:r w:rsidRPr="00675633">
        <w:rPr>
          <w:rFonts w:ascii="Cambria" w:eastAsia="Times New Roman" w:hAnsi="Cambria" w:cstheme="majorBidi"/>
          <w:sz w:val="24"/>
          <w:szCs w:val="24"/>
          <w:lang w:val="sv-SE"/>
        </w:rPr>
        <w:instrText>ADDIN CSL_CITATION {"citationItems":[{"id":"ITEM-1","itemData":{"DOI":"10.17977/UM022V7I12022P11","ISSN":"2503-5347","abstract":"Penelitian ini bertujuan untuk mengetahui efektivitas media pembelajaran berbasis infografis terhadap hasil belajar siswa pada mata pelajaran Ilmu Pengetahuan Sosial. Penelitian ini merupakan jenis penelitian kualitatif dengan menggunakan metode survei. Teknik pengambilan sampel yaitu purposive sampling, yang berdasarkan kriteria subjek pene</w:instrText>
      </w:r>
      <w:r w:rsidRPr="00592DD5">
        <w:rPr>
          <w:rFonts w:ascii="Cambria" w:eastAsia="Times New Roman" w:hAnsi="Cambria" w:cstheme="majorBidi"/>
          <w:sz w:val="24"/>
          <w:szCs w:val="24"/>
        </w:rPr>
        <w:instrText>litian sebanyak 20 siswa pada satu kelas di mata pelajaran IPS. Dokumentasi dan tes penilaian berupa pre-test dan post-test merupakan teknik pengambilan data pada penelitian ini. Data yang diperoleh dianalisis melalui uji Paired Sample t-tes. Berdasarkan pada hasil uji pre-test dan post-test disimpulkan bahwa pemanfaatan media pembelajaran berbasis infografis berpengaruh terhadap hasil belajar siswa.","author":[{"dropping-particle":"","family":"Masluhah","given":"","non-dropping-particle":"","parse-names":false,"suffix":""},{"dropping-particle":"","family":"Rizkiatul Afifah","given":"Kiki","non-dropping-particle":"","parse-names":false,"suffix":""},{"dropping-particle":"","family":"Hafid","given":"Ahmad","non-dropping-particle":"","parse-names":false,"suffix":""}],"container-title":"Jurnal Teori dan Praksis Pembelajaran IPS","id":"ITEM-1","issue":"1","issued":{"date-parts":[["2022","5","1"]]},"page":"11-20","publisher"</w:instrText>
      </w:r>
      <w:r w:rsidRPr="00675633">
        <w:rPr>
          <w:rFonts w:ascii="Cambria" w:eastAsia="Times New Roman" w:hAnsi="Cambria" w:cstheme="majorBidi"/>
          <w:sz w:val="24"/>
          <w:szCs w:val="24"/>
        </w:rPr>
        <w:instrText>:"State University of Malang (UM)","title":"Efektivitas Media Pembelajaran Berbasis Infografis terhadap Hasil Belajar Siswa Pada Mata Pelajaran IPS","type":"article-journal","volume":"7"},"uris":["http://www.mendeley.com/documents/?uuid=6500c5fe-bcec-3090-b4d1-cb5d469d4314"]}],"mendeley":{"formattedCitation":"(Masluhah et al., 2022)","plainTextFormattedCitation":"(Masluhah et al., 2022)","previouslyFormattedCitation":"(Masluhah et al., 2022)"},"properties":{"noteIndex":0},"schema":"https://github.com/citation-style-language/schema/raw/master/csl-citation.json"}</w:instrText>
      </w:r>
      <w:r w:rsidRPr="00675633">
        <w:rPr>
          <w:rFonts w:ascii="Cambria" w:eastAsia="Times New Roman" w:hAnsi="Cambria" w:cstheme="majorBidi"/>
          <w:sz w:val="24"/>
          <w:szCs w:val="24"/>
        </w:rPr>
        <w:fldChar w:fldCharType="separate"/>
      </w:r>
      <w:r w:rsidRPr="00675633">
        <w:rPr>
          <w:rFonts w:ascii="Cambria" w:eastAsia="Times New Roman" w:hAnsi="Cambria" w:cstheme="majorBidi"/>
          <w:noProof/>
          <w:sz w:val="24"/>
          <w:szCs w:val="24"/>
        </w:rPr>
        <w:t>(Masluhah et al., 2022)</w:t>
      </w:r>
      <w:r w:rsidRPr="00675633">
        <w:rPr>
          <w:rFonts w:ascii="Cambria" w:eastAsia="Times New Roman" w:hAnsi="Cambria" w:cstheme="majorBidi"/>
          <w:sz w:val="24"/>
          <w:szCs w:val="24"/>
        </w:rPr>
        <w:fldChar w:fldCharType="end"/>
      </w:r>
      <w:r w:rsidRPr="00675633">
        <w:rPr>
          <w:rFonts w:ascii="Cambria" w:eastAsia="Times New Roman" w:hAnsi="Cambria" w:cstheme="majorBidi"/>
          <w:sz w:val="24"/>
          <w:szCs w:val="24"/>
        </w:rPr>
        <w:t xml:space="preserve">. However, studies that specifically examine the use of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in Islamic Religious Education (PAI) learning at the madrasah </w:t>
      </w:r>
      <w:proofErr w:type="spellStart"/>
      <w:r w:rsidRPr="00675633">
        <w:rPr>
          <w:rFonts w:ascii="Cambria" w:eastAsia="Times New Roman" w:hAnsi="Cambria" w:cstheme="majorBidi"/>
          <w:sz w:val="24"/>
          <w:szCs w:val="24"/>
        </w:rPr>
        <w:t>ibtidaiyah</w:t>
      </w:r>
      <w:proofErr w:type="spellEnd"/>
      <w:r w:rsidRPr="00675633">
        <w:rPr>
          <w:rFonts w:ascii="Cambria" w:eastAsia="Times New Roman" w:hAnsi="Cambria" w:cstheme="majorBidi"/>
          <w:sz w:val="24"/>
          <w:szCs w:val="24"/>
        </w:rPr>
        <w:t xml:space="preserve"> level remain very limited.</w:t>
      </w:r>
    </w:p>
    <w:p w14:paraId="6C6E5D96" w14:textId="25CC9E22" w:rsidR="00A45D30" w:rsidRPr="00B76BC4" w:rsidRDefault="00A45D30" w:rsidP="00675633">
      <w:pPr>
        <w:pBdr>
          <w:top w:val="nil"/>
          <w:left w:val="nil"/>
          <w:bottom w:val="nil"/>
          <w:right w:val="nil"/>
          <w:between w:val="nil"/>
        </w:pBdr>
        <w:spacing w:after="0" w:line="240" w:lineRule="auto"/>
        <w:ind w:left="426" w:right="71" w:firstLine="567"/>
        <w:jc w:val="both"/>
        <w:rPr>
          <w:rFonts w:ascii="Cambria" w:eastAsia="Cambria" w:hAnsi="Cambria" w:cs="Cambria"/>
          <w:color w:val="000000" w:themeColor="text1"/>
          <w:sz w:val="24"/>
          <w:szCs w:val="24"/>
        </w:rPr>
      </w:pPr>
      <w:r w:rsidRPr="009D435B">
        <w:rPr>
          <w:rFonts w:ascii="Cambria" w:eastAsia="Cambria" w:hAnsi="Cambria" w:cs="Cambria"/>
          <w:color w:val="000000" w:themeColor="text1"/>
          <w:sz w:val="24"/>
          <w:szCs w:val="24"/>
        </w:rPr>
        <w:t xml:space="preserve">In this context, the </w:t>
      </w:r>
      <w:proofErr w:type="spellStart"/>
      <w:r w:rsidRPr="009D435B">
        <w:rPr>
          <w:rFonts w:ascii="Cambria" w:eastAsia="Cambria" w:hAnsi="Cambria" w:cs="Cambria"/>
          <w:color w:val="000000" w:themeColor="text1"/>
          <w:sz w:val="24"/>
          <w:szCs w:val="24"/>
        </w:rPr>
        <w:t>Ruangngaji</w:t>
      </w:r>
      <w:proofErr w:type="spellEnd"/>
      <w:r w:rsidRPr="009D435B">
        <w:rPr>
          <w:rFonts w:ascii="Cambria" w:eastAsia="Cambria" w:hAnsi="Cambria" w:cs="Cambria"/>
          <w:color w:val="000000" w:themeColor="text1"/>
          <w:sz w:val="24"/>
          <w:szCs w:val="24"/>
        </w:rPr>
        <w:t xml:space="preserve"> feature within the </w:t>
      </w:r>
      <w:proofErr w:type="spellStart"/>
      <w:r w:rsidRPr="009D435B">
        <w:rPr>
          <w:rFonts w:ascii="Cambria" w:eastAsia="Cambria" w:hAnsi="Cambria" w:cs="Cambria"/>
          <w:color w:val="000000" w:themeColor="text1"/>
          <w:sz w:val="24"/>
          <w:szCs w:val="24"/>
        </w:rPr>
        <w:t>Ruangguru</w:t>
      </w:r>
      <w:proofErr w:type="spellEnd"/>
      <w:r w:rsidRPr="009D435B">
        <w:rPr>
          <w:rFonts w:ascii="Cambria" w:eastAsia="Cambria" w:hAnsi="Cambria" w:cs="Cambria"/>
          <w:color w:val="000000" w:themeColor="text1"/>
          <w:sz w:val="24"/>
          <w:szCs w:val="24"/>
        </w:rPr>
        <w:t xml:space="preserve"> platform becomes important to examine because it represents a specific digital learning service that is closely related to Islamic learning needs. Unlike general online tutoring features, </w:t>
      </w:r>
      <w:proofErr w:type="spellStart"/>
      <w:r w:rsidRPr="009D435B">
        <w:rPr>
          <w:rFonts w:ascii="Cambria" w:eastAsia="Cambria" w:hAnsi="Cambria" w:cs="Cambria"/>
          <w:color w:val="000000" w:themeColor="text1"/>
          <w:sz w:val="24"/>
          <w:szCs w:val="24"/>
        </w:rPr>
        <w:t>Ruangngaji</w:t>
      </w:r>
      <w:proofErr w:type="spellEnd"/>
      <w:r w:rsidRPr="009D435B">
        <w:rPr>
          <w:rFonts w:ascii="Cambria" w:eastAsia="Cambria" w:hAnsi="Cambria" w:cs="Cambria"/>
          <w:color w:val="000000" w:themeColor="text1"/>
          <w:sz w:val="24"/>
          <w:szCs w:val="24"/>
        </w:rPr>
        <w:t xml:space="preserve"> offers religious learning materials through animated videos, practice exercises, and learning summaries, which may help students understand PAI concepts </w:t>
      </w:r>
      <w:r w:rsidR="00BD7A1D">
        <w:rPr>
          <w:rFonts w:ascii="Cambria" w:eastAsia="Cambria" w:hAnsi="Cambria" w:cs="Cambria"/>
          <w:color w:val="000000" w:themeColor="text1"/>
          <w:sz w:val="24"/>
          <w:szCs w:val="24"/>
        </w:rPr>
        <w:t>more concretely and engagingly</w:t>
      </w:r>
      <w:r w:rsidRPr="009D435B">
        <w:rPr>
          <w:rFonts w:ascii="Cambria" w:eastAsia="Cambria" w:hAnsi="Cambria" w:cs="Cambria"/>
          <w:color w:val="000000" w:themeColor="text1"/>
          <w:sz w:val="24"/>
          <w:szCs w:val="24"/>
        </w:rPr>
        <w:t xml:space="preserve">. Previous studies have shown that animated videos, interactive exercises, and digital learning media can enhance students’ motivation, engagement, and understanding </w:t>
      </w:r>
      <w:r w:rsidR="009D435B" w:rsidRPr="009D435B">
        <w:rPr>
          <w:rFonts w:ascii="Cambria" w:eastAsia="Cambria" w:hAnsi="Cambria" w:cs="Cambria"/>
          <w:color w:val="000000" w:themeColor="text1"/>
          <w:sz w:val="24"/>
          <w:szCs w:val="24"/>
        </w:rPr>
        <w:t xml:space="preserve">(Bond et al., 2024; Chiu et al., 2022; </w:t>
      </w:r>
      <w:proofErr w:type="spellStart"/>
      <w:r w:rsidR="009D435B" w:rsidRPr="009D435B">
        <w:rPr>
          <w:rFonts w:ascii="Cambria" w:eastAsia="Cambria" w:hAnsi="Cambria" w:cs="Cambria"/>
          <w:color w:val="000000" w:themeColor="text1"/>
          <w:sz w:val="24"/>
          <w:szCs w:val="24"/>
        </w:rPr>
        <w:t>Grájeda</w:t>
      </w:r>
      <w:proofErr w:type="spellEnd"/>
      <w:r w:rsidR="009D435B" w:rsidRPr="009D435B">
        <w:rPr>
          <w:rFonts w:ascii="Cambria" w:eastAsia="Cambria" w:hAnsi="Cambria" w:cs="Cambria"/>
          <w:color w:val="000000" w:themeColor="text1"/>
          <w:sz w:val="24"/>
          <w:szCs w:val="24"/>
        </w:rPr>
        <w:t xml:space="preserve"> et al., 2023; Kong et al., 2024; Lin et al., 2023).</w:t>
      </w:r>
      <w:r w:rsidRPr="009D435B">
        <w:rPr>
          <w:rFonts w:ascii="Cambria" w:eastAsia="Cambria" w:hAnsi="Cambria" w:cs="Cambria"/>
          <w:color w:val="000000" w:themeColor="text1"/>
          <w:sz w:val="24"/>
          <w:szCs w:val="24"/>
        </w:rPr>
        <w:t xml:space="preserve"> </w:t>
      </w:r>
      <w:r w:rsidRPr="00B76BC4">
        <w:rPr>
          <w:rFonts w:ascii="Cambria" w:eastAsia="Cambria" w:hAnsi="Cambria" w:cs="Cambria"/>
          <w:color w:val="000000" w:themeColor="text1"/>
          <w:sz w:val="24"/>
          <w:szCs w:val="24"/>
        </w:rPr>
        <w:t xml:space="preserve">This feature is particularly relevant for madrasah </w:t>
      </w:r>
      <w:proofErr w:type="spellStart"/>
      <w:r w:rsidRPr="00B76BC4">
        <w:rPr>
          <w:rFonts w:ascii="Cambria" w:eastAsia="Cambria" w:hAnsi="Cambria" w:cs="Cambria"/>
          <w:color w:val="000000" w:themeColor="text1"/>
          <w:sz w:val="24"/>
          <w:szCs w:val="24"/>
        </w:rPr>
        <w:t>ibtidaiyah</w:t>
      </w:r>
      <w:proofErr w:type="spellEnd"/>
      <w:r w:rsidRPr="00B76BC4">
        <w:rPr>
          <w:rFonts w:ascii="Cambria" w:eastAsia="Cambria" w:hAnsi="Cambria" w:cs="Cambria"/>
          <w:color w:val="000000" w:themeColor="text1"/>
          <w:sz w:val="24"/>
          <w:szCs w:val="24"/>
        </w:rPr>
        <w:t xml:space="preserve"> students, who often require visual, repetitive, and accessible learning support to strengthen their understanding of Qur’anic recitation, Islamic values, and religious practices </w:t>
      </w:r>
      <w:r w:rsidR="00B76BC4" w:rsidRPr="00B76BC4">
        <w:rPr>
          <w:rFonts w:ascii="Cambria" w:eastAsia="Cambria" w:hAnsi="Cambria" w:cs="Cambria"/>
          <w:color w:val="000000" w:themeColor="text1"/>
          <w:sz w:val="24"/>
          <w:szCs w:val="24"/>
        </w:rPr>
        <w:t xml:space="preserve">(Aeni et al., 2024; </w:t>
      </w:r>
      <w:proofErr w:type="spellStart"/>
      <w:r w:rsidR="00B76BC4" w:rsidRPr="00B76BC4">
        <w:rPr>
          <w:rFonts w:ascii="Cambria" w:eastAsia="Cambria" w:hAnsi="Cambria" w:cs="Cambria"/>
          <w:color w:val="000000" w:themeColor="text1"/>
          <w:sz w:val="24"/>
          <w:szCs w:val="24"/>
        </w:rPr>
        <w:t>Artati</w:t>
      </w:r>
      <w:proofErr w:type="spellEnd"/>
      <w:r w:rsidR="00B76BC4" w:rsidRPr="00B76BC4">
        <w:rPr>
          <w:rFonts w:ascii="Cambria" w:eastAsia="Cambria" w:hAnsi="Cambria" w:cs="Cambria"/>
          <w:color w:val="000000" w:themeColor="text1"/>
          <w:sz w:val="24"/>
          <w:szCs w:val="24"/>
        </w:rPr>
        <w:t xml:space="preserve"> et al., 2023; </w:t>
      </w:r>
      <w:proofErr w:type="spellStart"/>
      <w:r w:rsidR="00B76BC4" w:rsidRPr="00B76BC4">
        <w:rPr>
          <w:rFonts w:ascii="Cambria" w:eastAsia="Cambria" w:hAnsi="Cambria" w:cs="Cambria"/>
          <w:color w:val="000000" w:themeColor="text1"/>
          <w:sz w:val="24"/>
          <w:szCs w:val="24"/>
        </w:rPr>
        <w:t>Rizki</w:t>
      </w:r>
      <w:proofErr w:type="spellEnd"/>
      <w:r w:rsidR="00B76BC4" w:rsidRPr="00B76BC4">
        <w:rPr>
          <w:rFonts w:ascii="Cambria" w:eastAsia="Cambria" w:hAnsi="Cambria" w:cs="Cambria"/>
          <w:color w:val="000000" w:themeColor="text1"/>
          <w:sz w:val="24"/>
          <w:szCs w:val="24"/>
        </w:rPr>
        <w:t>, 2023; Shukri et al., 2020)</w:t>
      </w:r>
      <w:r w:rsidRPr="00B76BC4">
        <w:rPr>
          <w:rFonts w:ascii="Cambria" w:eastAsia="Cambria" w:hAnsi="Cambria" w:cs="Cambria"/>
          <w:color w:val="000000" w:themeColor="text1"/>
          <w:sz w:val="24"/>
          <w:szCs w:val="24"/>
        </w:rPr>
        <w:t xml:space="preserve">. Therefore, examining </w:t>
      </w:r>
      <w:proofErr w:type="spellStart"/>
      <w:r w:rsidRPr="00B76BC4">
        <w:rPr>
          <w:rFonts w:ascii="Cambria" w:eastAsia="Cambria" w:hAnsi="Cambria" w:cs="Cambria"/>
          <w:color w:val="000000" w:themeColor="text1"/>
          <w:sz w:val="24"/>
          <w:szCs w:val="24"/>
        </w:rPr>
        <w:t>Ruangguru</w:t>
      </w:r>
      <w:proofErr w:type="spellEnd"/>
      <w:r w:rsidRPr="00B76BC4">
        <w:rPr>
          <w:rFonts w:ascii="Cambria" w:eastAsia="Cambria" w:hAnsi="Cambria" w:cs="Cambria"/>
          <w:color w:val="000000" w:themeColor="text1"/>
          <w:sz w:val="24"/>
          <w:szCs w:val="24"/>
        </w:rPr>
        <w:t xml:space="preserve"> through its </w:t>
      </w:r>
      <w:proofErr w:type="spellStart"/>
      <w:r w:rsidRPr="00B76BC4">
        <w:rPr>
          <w:rFonts w:ascii="Cambria" w:eastAsia="Cambria" w:hAnsi="Cambria" w:cs="Cambria"/>
          <w:color w:val="000000" w:themeColor="text1"/>
          <w:sz w:val="24"/>
          <w:szCs w:val="24"/>
        </w:rPr>
        <w:t>Ruangngaji</w:t>
      </w:r>
      <w:proofErr w:type="spellEnd"/>
      <w:r w:rsidRPr="00B76BC4">
        <w:rPr>
          <w:rFonts w:ascii="Cambria" w:eastAsia="Cambria" w:hAnsi="Cambria" w:cs="Cambria"/>
          <w:color w:val="000000" w:themeColor="text1"/>
          <w:sz w:val="24"/>
          <w:szCs w:val="24"/>
        </w:rPr>
        <w:t xml:space="preserve"> feature can provide a more specific understanding of how online tutoring supports PAI learning at the primary Islamic education level.</w:t>
      </w:r>
    </w:p>
    <w:p w14:paraId="30B0DADE" w14:textId="0BEF9533" w:rsidR="00675633" w:rsidRPr="00675633" w:rsidRDefault="00675633" w:rsidP="00675633">
      <w:pPr>
        <w:pBdr>
          <w:top w:val="nil"/>
          <w:left w:val="nil"/>
          <w:bottom w:val="nil"/>
          <w:right w:val="nil"/>
          <w:between w:val="nil"/>
        </w:pBdr>
        <w:spacing w:after="0" w:line="240" w:lineRule="auto"/>
        <w:ind w:left="426" w:right="71" w:firstLine="567"/>
        <w:jc w:val="both"/>
        <w:rPr>
          <w:rFonts w:ascii="Cambria" w:eastAsia="Cambria" w:hAnsi="Cambria" w:cs="Cambria"/>
          <w:color w:val="EE0000"/>
          <w:sz w:val="24"/>
          <w:szCs w:val="24"/>
        </w:rPr>
      </w:pPr>
      <w:r w:rsidRPr="00675633">
        <w:rPr>
          <w:rFonts w:ascii="Cambria" w:eastAsia="Times New Roman" w:hAnsi="Cambria" w:cstheme="majorBidi"/>
          <w:sz w:val="24"/>
          <w:szCs w:val="24"/>
        </w:rPr>
        <w:t xml:space="preserve">This study specifically focuses on students of MI Al-Azhar </w:t>
      </w:r>
      <w:proofErr w:type="spellStart"/>
      <w:r w:rsidRPr="00675633">
        <w:rPr>
          <w:rFonts w:ascii="Cambria" w:eastAsia="Times New Roman" w:hAnsi="Cambria" w:cstheme="majorBidi"/>
          <w:sz w:val="24"/>
          <w:szCs w:val="24"/>
        </w:rPr>
        <w:t>Samarinda</w:t>
      </w:r>
      <w:proofErr w:type="spellEnd"/>
      <w:r w:rsidRPr="00675633">
        <w:rPr>
          <w:rFonts w:ascii="Cambria" w:eastAsia="Times New Roman" w:hAnsi="Cambria" w:cstheme="majorBidi"/>
          <w:sz w:val="24"/>
          <w:szCs w:val="24"/>
        </w:rPr>
        <w:t xml:space="preserve"> who use the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platform to learn PAI. The two main questions addressed in this study are: (1) </w:t>
      </w:r>
      <w:r w:rsidR="005D2EFC">
        <w:rPr>
          <w:rFonts w:ascii="Cambria" w:eastAsia="Times New Roman" w:hAnsi="Cambria" w:cstheme="majorBidi"/>
          <w:sz w:val="24"/>
          <w:szCs w:val="24"/>
        </w:rPr>
        <w:t xml:space="preserve">What is the PAI learning model implemented through </w:t>
      </w:r>
      <w:proofErr w:type="spellStart"/>
      <w:r w:rsidR="005D2EFC">
        <w:rPr>
          <w:rFonts w:ascii="Cambria" w:eastAsia="Times New Roman" w:hAnsi="Cambria" w:cstheme="majorBidi"/>
          <w:sz w:val="24"/>
          <w:szCs w:val="24"/>
        </w:rPr>
        <w:t>Ruangguru</w:t>
      </w:r>
      <w:proofErr w:type="spellEnd"/>
      <w:r w:rsidR="005D2EFC">
        <w:rPr>
          <w:rFonts w:ascii="Cambria" w:eastAsia="Times New Roman" w:hAnsi="Cambria" w:cstheme="majorBidi"/>
          <w:sz w:val="24"/>
          <w:szCs w:val="24"/>
        </w:rPr>
        <w:t xml:space="preserve"> online tutoring in </w:t>
      </w:r>
      <w:proofErr w:type="spellStart"/>
      <w:r w:rsidR="005D2EFC">
        <w:rPr>
          <w:rFonts w:ascii="Cambria" w:eastAsia="Times New Roman" w:hAnsi="Cambria" w:cstheme="majorBidi"/>
          <w:sz w:val="24"/>
          <w:szCs w:val="24"/>
        </w:rPr>
        <w:t>Samarinda</w:t>
      </w:r>
      <w:proofErr w:type="spellEnd"/>
      <w:r w:rsidR="005D2EFC">
        <w:rPr>
          <w:rFonts w:ascii="Cambria" w:eastAsia="Times New Roman" w:hAnsi="Cambria" w:cstheme="majorBidi"/>
          <w:sz w:val="24"/>
          <w:szCs w:val="24"/>
        </w:rPr>
        <w:t>? and (2) What</w:t>
      </w:r>
      <w:r w:rsidRPr="00675633">
        <w:rPr>
          <w:rFonts w:ascii="Cambria" w:eastAsia="Times New Roman" w:hAnsi="Cambria" w:cstheme="majorBidi"/>
          <w:sz w:val="24"/>
          <w:szCs w:val="24"/>
        </w:rPr>
        <w:t xml:space="preserve"> role does </w:t>
      </w:r>
      <w:proofErr w:type="spellStart"/>
      <w:r w:rsidRPr="00675633">
        <w:rPr>
          <w:rFonts w:ascii="Cambria" w:eastAsia="Times New Roman" w:hAnsi="Cambria" w:cstheme="majorBidi"/>
          <w:sz w:val="24"/>
          <w:szCs w:val="24"/>
        </w:rPr>
        <w:t>Ruangguru</w:t>
      </w:r>
      <w:proofErr w:type="spellEnd"/>
      <w:r w:rsidRPr="00675633">
        <w:rPr>
          <w:rFonts w:ascii="Cambria" w:eastAsia="Times New Roman" w:hAnsi="Cambria" w:cstheme="majorBidi"/>
          <w:sz w:val="24"/>
          <w:szCs w:val="24"/>
        </w:rPr>
        <w:t xml:space="preserve"> online tutoring play in supporting PAI learning among students of MI Al-Azhar </w:t>
      </w:r>
      <w:proofErr w:type="spellStart"/>
      <w:r w:rsidRPr="00675633">
        <w:rPr>
          <w:rFonts w:ascii="Cambria" w:eastAsia="Times New Roman" w:hAnsi="Cambria" w:cstheme="majorBidi"/>
          <w:sz w:val="24"/>
          <w:szCs w:val="24"/>
        </w:rPr>
        <w:t>Samarinda</w:t>
      </w:r>
      <w:proofErr w:type="spellEnd"/>
      <w:r w:rsidRPr="00675633">
        <w:rPr>
          <w:rFonts w:ascii="Cambria" w:eastAsia="Times New Roman" w:hAnsi="Cambria" w:cstheme="majorBidi"/>
          <w:sz w:val="24"/>
          <w:szCs w:val="24"/>
        </w:rPr>
        <w:t>? The novelty of this study lies in its empirical evidence that digital tutoring platforms, which have long been associated with general subjects, can</w:t>
      </w:r>
      <w:r w:rsidR="005D2EFC">
        <w:rPr>
          <w:rFonts w:ascii="Cambria" w:eastAsia="Times New Roman" w:hAnsi="Cambria" w:cstheme="majorBidi"/>
          <w:sz w:val="24"/>
          <w:szCs w:val="24"/>
        </w:rPr>
        <w:t>, in fact,</w:t>
      </w:r>
      <w:r w:rsidRPr="00675633">
        <w:rPr>
          <w:rFonts w:ascii="Cambria" w:eastAsia="Times New Roman" w:hAnsi="Cambria" w:cstheme="majorBidi"/>
          <w:sz w:val="24"/>
          <w:szCs w:val="24"/>
        </w:rPr>
        <w:t xml:space="preserve"> make a real contribution to PAI learning at the primary education level </w:t>
      </w:r>
      <w:r w:rsidRPr="00675633">
        <w:rPr>
          <w:rFonts w:ascii="Cambria" w:eastAsia="Times New Roman" w:hAnsi="Cambria" w:cstheme="majorBidi"/>
          <w:sz w:val="24"/>
          <w:szCs w:val="24"/>
        </w:rPr>
        <w:fldChar w:fldCharType="begin" w:fldLock="1"/>
      </w:r>
      <w:r w:rsidRPr="00675633">
        <w:rPr>
          <w:rFonts w:ascii="Cambria" w:eastAsia="Times New Roman" w:hAnsi="Cambria" w:cstheme="majorBidi"/>
          <w:sz w:val="24"/>
          <w:szCs w:val="24"/>
        </w:rPr>
        <w:instrText>ADDIN CSL_CITATION {"citationItems":[{"id":"ITEM-1","itemData":{"DOI":"10.46963/ASATIZA.V6I2.2645","ISSN":"2716-3202","abstract":"This study examines the effects of interactive media (PowerPoint, YouTube, Kahoot, Canva) on student engagement and learning outcomes in Islamic Religious Education (PAI) at Muhammadiyah 12 Senior High School, Jakarta. Employing a qualitative descriptive method, data were collected via semi-structured interviews with two teachers and four students, supplemented by document analysis. Results indicate that 83% of students exhibited heightened motivation and comprehension, particularly through videos and gamification, aligning with the TPACK framework. However, 67% encountered technical barriers (e.g., unstable Wi-Fi, limited data quotas), while teachers noted infrastructural and digital literacy constraints. The study highlights the potential of multimedia to clarify abstract concepts and promote student-centered learning, contingent on addressing technical gaps. Recommendations include institutional investments in Wi-Fi infrastructure, device provision, and teacher training, in line with Indonesia’s Merdeka Belajar policy. It calls for standardized PAI digital resources and digital pedagogy integration in teacher certification. Future research should explore scalability across rural-urban contexts.","author":[{"dropping-particle":"","family":"Pasha","given":"Adinda Sabrina","non-dropping-particle":"","parse-names":false,"suffix":""},{"dropping-particle":"","family":"Rahmanto","given":"Muhammad Arifin","non-dropping-particle":"","parse-names":false,"suffix":""}],"container-title":"Asatiza: Jurnal Pendidikan","id":"ITEM-1","issue":"2","issued":{"date-parts":[["2025","5","31"]]},"page":"118-131","publisher":"STAI Auliaurrasyidin Tembilahan","title":"Interactive Media in Islamic Education: Enhancing Engagement Amid Infrastructure Challenges at Muhammadiyah 12 Senior High School Jakarta","type":"article-journal","volume":"6"},"uris":["http://www.mendeley.com/documents/?uuid=e9e2abd9-2671-31ab-8866-5e9d56abeb02"]}],"mendeley":{"formattedCitation":"(Pasha &amp; Rahmanto, 2025)","plainTextFormattedCitation":"(Pasha &amp; Rahmanto, 2025)","previouslyFormattedCitation":"(Pasha &amp; Rahmanto, 2025)"},"properties":{"noteIndex":0},"schema":"https://github.com/citation-style-language/schema/raw/master/csl-citation.json"}</w:instrText>
      </w:r>
      <w:r w:rsidRPr="00675633">
        <w:rPr>
          <w:rFonts w:ascii="Cambria" w:eastAsia="Times New Roman" w:hAnsi="Cambria" w:cstheme="majorBidi"/>
          <w:sz w:val="24"/>
          <w:szCs w:val="24"/>
        </w:rPr>
        <w:fldChar w:fldCharType="separate"/>
      </w:r>
      <w:r w:rsidRPr="00675633">
        <w:rPr>
          <w:rFonts w:ascii="Cambria" w:eastAsia="Times New Roman" w:hAnsi="Cambria" w:cstheme="majorBidi"/>
          <w:noProof/>
          <w:sz w:val="24"/>
          <w:szCs w:val="24"/>
        </w:rPr>
        <w:t>(Pasha &amp; Rahmanto, 2025)</w:t>
      </w:r>
      <w:r w:rsidRPr="00675633">
        <w:rPr>
          <w:rFonts w:ascii="Cambria" w:eastAsia="Times New Roman" w:hAnsi="Cambria" w:cstheme="majorBidi"/>
          <w:sz w:val="24"/>
          <w:szCs w:val="24"/>
        </w:rPr>
        <w:fldChar w:fldCharType="end"/>
      </w:r>
      <w:r w:rsidRPr="00675633">
        <w:rPr>
          <w:rFonts w:ascii="Cambria" w:eastAsia="Times New Roman" w:hAnsi="Cambria" w:cstheme="majorBidi"/>
          <w:sz w:val="24"/>
          <w:szCs w:val="24"/>
          <w:lang w:val="id-ID"/>
        </w:rPr>
        <w:t>.</w:t>
      </w:r>
    </w:p>
    <w:p w14:paraId="1A0811E3" w14:textId="77777777" w:rsidR="00186919" w:rsidRDefault="00186919" w:rsidP="00367B8E">
      <w:pPr>
        <w:pBdr>
          <w:top w:val="nil"/>
          <w:left w:val="nil"/>
          <w:bottom w:val="nil"/>
          <w:right w:val="nil"/>
          <w:between w:val="nil"/>
        </w:pBdr>
        <w:spacing w:after="0" w:line="240" w:lineRule="auto"/>
        <w:ind w:left="426" w:right="71" w:firstLine="567"/>
        <w:jc w:val="both"/>
        <w:rPr>
          <w:rFonts w:ascii="Cambria" w:eastAsia="Cambria" w:hAnsi="Cambria" w:cs="Cambria"/>
          <w:sz w:val="24"/>
          <w:szCs w:val="24"/>
        </w:rPr>
      </w:pPr>
    </w:p>
    <w:p w14:paraId="3C9726E8" w14:textId="77777777" w:rsidR="0039525E" w:rsidRDefault="00320985" w:rsidP="00367B8E">
      <w:pPr>
        <w:numPr>
          <w:ilvl w:val="0"/>
          <w:numId w:val="1"/>
        </w:numPr>
        <w:pBdr>
          <w:top w:val="nil"/>
          <w:left w:val="nil"/>
          <w:bottom w:val="nil"/>
          <w:right w:val="nil"/>
          <w:between w:val="nil"/>
        </w:pBdr>
        <w:spacing w:after="0" w:line="240" w:lineRule="auto"/>
        <w:ind w:left="426" w:right="71" w:hanging="426"/>
        <w:jc w:val="both"/>
        <w:rPr>
          <w:rFonts w:ascii="Cambria" w:eastAsia="Cambria" w:hAnsi="Cambria" w:cs="Cambria"/>
          <w:color w:val="000000"/>
          <w:sz w:val="24"/>
          <w:szCs w:val="24"/>
        </w:rPr>
      </w:pPr>
      <w:r>
        <w:rPr>
          <w:rFonts w:ascii="Cambria" w:eastAsia="Cambria" w:hAnsi="Cambria" w:cs="Cambria"/>
          <w:b/>
          <w:bCs/>
          <w:color w:val="000000"/>
          <w:sz w:val="24"/>
          <w:szCs w:val="24"/>
        </w:rPr>
        <w:t>Literature Review</w:t>
      </w:r>
    </w:p>
    <w:p w14:paraId="0DBC57E5" w14:textId="5397A805" w:rsidR="0039525E" w:rsidRPr="00186919" w:rsidRDefault="00196781" w:rsidP="00367B8E">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sz w:val="24"/>
          <w:szCs w:val="24"/>
        </w:rPr>
      </w:pPr>
      <w:r w:rsidRPr="00196781">
        <w:rPr>
          <w:rFonts w:ascii="Cambria" w:eastAsia="Cambria" w:hAnsi="Cambria" w:cs="Cambria"/>
          <w:b/>
          <w:bCs/>
          <w:color w:val="000000"/>
          <w:sz w:val="24"/>
          <w:szCs w:val="24"/>
        </w:rPr>
        <w:t>Online Tutoring and E-Learning in Education</w:t>
      </w:r>
    </w:p>
    <w:p w14:paraId="76F3F21D" w14:textId="4C3A3E2B" w:rsidR="00196781" w:rsidRDefault="00196781" w:rsidP="00196781">
      <w:pPr>
        <w:spacing w:after="0" w:line="240" w:lineRule="auto"/>
        <w:ind w:left="426" w:right="71" w:firstLine="567"/>
        <w:jc w:val="both"/>
        <w:rPr>
          <w:rFonts w:ascii="Cambria" w:eastAsia="Cambria" w:hAnsi="Cambria" w:cs="Cambria"/>
          <w:color w:val="EE0000"/>
          <w:sz w:val="24"/>
          <w:szCs w:val="24"/>
        </w:rPr>
      </w:pPr>
      <w:r w:rsidRPr="00196781">
        <w:rPr>
          <w:rFonts w:ascii="Cambria" w:eastAsia="Times New Roman" w:hAnsi="Cambria" w:cstheme="majorBidi"/>
          <w:sz w:val="24"/>
          <w:szCs w:val="24"/>
        </w:rPr>
        <w:t xml:space="preserve">Online tutoring can be understood as a structured form of academic assistance provided to students to help them prevent or overcome learning difficulties. Over time, this concept has evolved beyond conventional face-to-face interaction. The emergence of e-learning has created a new dimension that enables tutoring services to be delivered online without the constraints of time and place. </w:t>
      </w:r>
      <w:r w:rsidRPr="00196781">
        <w:rPr>
          <w:rFonts w:ascii="Cambria" w:eastAsia="Times New Roman" w:hAnsi="Cambria" w:cstheme="majorBidi"/>
          <w:sz w:val="24"/>
          <w:szCs w:val="24"/>
        </w:rPr>
        <w:fldChar w:fldCharType="begin" w:fldLock="1"/>
      </w:r>
      <w:r w:rsidRPr="00196781">
        <w:rPr>
          <w:rFonts w:ascii="Cambria" w:eastAsia="Times New Roman" w:hAnsi="Cambria" w:cstheme="majorBidi"/>
          <w:sz w:val="24"/>
          <w:szCs w:val="24"/>
        </w:rPr>
        <w:instrText>ADDIN CSL_CITATION {"citationItems":[{"id":"ITEM-1","itemData":{"DOI":"https://doi.org/10.33474/jpmi.v7i2.28969","author":[{"dropping-particle":"","family":"Habsia, A., Ertanti","given":"D. W.","non-dropping-particle":"","parse-names":false,"suffix":""},{"dropping-particle":"","family":"Zakaria","given":"Z.","non-dropping-particle":"","parse-names":false,"suffix":""}],"container-title":"JPMI: Jurnal Pendidikan Madrasah Ibtidaiyah","id":"ITEM-1","issue":"2","issued":{"date-parts":[["2025"]]},"page":"1-14","title":"Implementasi Pembelajaran Berbasis E-learning Madrasah dalam Membentuk Kemandirian Belajar Siswa Jenjang Kelas atas di MIN 1 Kota Malang.","type":"article-journal","volume":"7"},"uris":["http://www.mendeley.com/documents/?uuid=414a2873-c493-4599-ad96-4d34e0957057"]}],"mendeley":{"formattedCitation":"(Habsia, A., Ertanti &amp; Zakaria, 2025)","plainTextFormattedCitation":"(Habsia, A., Ertanti &amp; Zakaria, 2025)","previouslyFormattedCitation":"(Habsia, A., Ertanti &amp; Zakaria, 2025)"},"properties":{"noteIndex":0},"schema":"https://github.com/citation-style-language/schema/raw/master/csl-citation.json"}</w:instrText>
      </w:r>
      <w:r w:rsidRPr="00196781">
        <w:rPr>
          <w:rFonts w:ascii="Cambria" w:eastAsia="Times New Roman" w:hAnsi="Cambria" w:cstheme="majorBidi"/>
          <w:sz w:val="24"/>
          <w:szCs w:val="24"/>
        </w:rPr>
        <w:fldChar w:fldCharType="separate"/>
      </w:r>
      <w:r w:rsidRPr="00196781">
        <w:rPr>
          <w:rFonts w:ascii="Cambria" w:eastAsia="Times New Roman" w:hAnsi="Cambria" w:cstheme="majorBidi"/>
          <w:noProof/>
          <w:sz w:val="24"/>
          <w:szCs w:val="24"/>
        </w:rPr>
        <w:t>Habsia et al</w:t>
      </w:r>
      <w:r w:rsidR="00513B86">
        <w:rPr>
          <w:rFonts w:ascii="Cambria" w:eastAsia="Times New Roman" w:hAnsi="Cambria" w:cstheme="majorBidi"/>
          <w:noProof/>
          <w:sz w:val="24"/>
          <w:szCs w:val="24"/>
        </w:rPr>
        <w:t>.</w:t>
      </w:r>
      <w:r w:rsidRPr="00196781">
        <w:rPr>
          <w:rFonts w:ascii="Cambria" w:eastAsia="Times New Roman" w:hAnsi="Cambria" w:cstheme="majorBidi"/>
          <w:noProof/>
          <w:sz w:val="24"/>
          <w:szCs w:val="24"/>
        </w:rPr>
        <w:t xml:space="preserve"> (2025)</w:t>
      </w:r>
      <w:r w:rsidRPr="00196781">
        <w:rPr>
          <w:rFonts w:ascii="Cambria" w:eastAsia="Times New Roman" w:hAnsi="Cambria" w:cstheme="majorBidi"/>
          <w:sz w:val="24"/>
          <w:szCs w:val="24"/>
        </w:rPr>
        <w:fldChar w:fldCharType="end"/>
      </w:r>
      <w:r w:rsidRPr="00196781">
        <w:rPr>
          <w:rFonts w:ascii="Cambria" w:eastAsia="Times New Roman" w:hAnsi="Cambria" w:cstheme="majorBidi"/>
          <w:sz w:val="24"/>
          <w:szCs w:val="24"/>
          <w:lang w:val="id-ID"/>
        </w:rPr>
        <w:t xml:space="preserve"> </w:t>
      </w:r>
      <w:r w:rsidR="00513B86" w:rsidRPr="00513B86">
        <w:rPr>
          <w:rFonts w:ascii="Cambria" w:eastAsia="Times New Roman" w:hAnsi="Cambria" w:cstheme="majorBidi"/>
          <w:sz w:val="24"/>
          <w:szCs w:val="24"/>
        </w:rPr>
        <w:t xml:space="preserve">demonstrated that the implementation of e-learning in madrasah </w:t>
      </w:r>
      <w:proofErr w:type="spellStart"/>
      <w:r w:rsidR="00513B86" w:rsidRPr="00513B86">
        <w:rPr>
          <w:rFonts w:ascii="Cambria" w:eastAsia="Times New Roman" w:hAnsi="Cambria" w:cstheme="majorBidi"/>
          <w:sz w:val="24"/>
          <w:szCs w:val="24"/>
        </w:rPr>
        <w:t>ibtidaiyah</w:t>
      </w:r>
      <w:proofErr w:type="spellEnd"/>
      <w:r w:rsidR="00513B86" w:rsidRPr="00513B86">
        <w:rPr>
          <w:rFonts w:ascii="Cambria" w:eastAsia="Times New Roman" w:hAnsi="Cambria" w:cstheme="majorBidi"/>
          <w:sz w:val="24"/>
          <w:szCs w:val="24"/>
        </w:rPr>
        <w:t xml:space="preserve"> effectively promotes students’ independent learning, particularly when the platform is designed with features that align with their cognitive developmental stages.</w:t>
      </w:r>
    </w:p>
    <w:p w14:paraId="4C81C292" w14:textId="77777777" w:rsidR="00196781" w:rsidRDefault="00196781" w:rsidP="00196781">
      <w:pPr>
        <w:spacing w:after="0" w:line="240" w:lineRule="auto"/>
        <w:ind w:left="426" w:right="71" w:firstLine="567"/>
        <w:jc w:val="both"/>
        <w:rPr>
          <w:rFonts w:ascii="Cambria" w:eastAsia="Cambria" w:hAnsi="Cambria" w:cs="Cambria"/>
          <w:color w:val="EE0000"/>
          <w:sz w:val="24"/>
          <w:szCs w:val="24"/>
        </w:rPr>
      </w:pPr>
      <w:r w:rsidRPr="00196781">
        <w:rPr>
          <w:rFonts w:ascii="Cambria" w:eastAsia="Times New Roman" w:hAnsi="Cambria" w:cstheme="majorBidi"/>
          <w:sz w:val="24"/>
          <w:szCs w:val="24"/>
        </w:rPr>
        <w:fldChar w:fldCharType="begin" w:fldLock="1"/>
      </w:r>
      <w:r w:rsidRPr="00196781">
        <w:rPr>
          <w:rFonts w:ascii="Cambria" w:eastAsia="Times New Roman" w:hAnsi="Cambria" w:cstheme="majorBidi"/>
          <w:sz w:val="24"/>
          <w:szCs w:val="24"/>
        </w:rPr>
        <w:instrText>ADDIN CSL_CITATION {"citationItems":[{"id":"ITEM-1","itemData":{"DOI":"10.2991/978-2-38476-301-6_88","ISBN":"978-2-38476-301-6","ISSN":"2352-5398","abstract":"… teachers have digital teaching materials on Islamic Religious Education subjects … study above showed that only 57.14% of Islamic Religious Education teachers had \"complete\" teaching …","author":[{"dropping-particle":"","family":"Ruswandi","given":"Agus","non-dropping-particle":"","parse-names":false,"suffix":""},{"dropping-particle":"","family":"Firdaus","given":"M. Aditya","non-dropping-particle":"","parse-names":false,"suffix":""},{"dropping-particle":"","family":"Ruswandi","given":"Riki","non-dropping-particle":"","parse-names":false,"suffix":""},{"dropping-particle":"","family":"Mahyani","given":"Aang","non-dropping-particle":"","parse-names":false,"suffix":""}],"container-title":"Readiness of Digital Learning Documents on Islamic Religious Education Teachers in Madrasah","id":"ITEM-1","issued":{"date-parts":[["2024","11","25"]]},"page":"906-918","publisher":"Atlantis Press","title":"Proceedings of the 7th International Conference on Learning Innovation and Quality Education (ICLIQE)","type":"paper-conference"},"uris":["http://www.mendeley.com/documents/?uuid=20514bdd-1b4a-3bc5-a8d3-d5e918263f3b"]}],"mendeley":{"formattedCitation":"(Ruswandi et al., 2024)","plainTextFormattedCitation":"(Ruswandi et al., 2024)","previouslyFormattedCitation":"(Ruswandi et al., 2024)"},"properties":{"noteIndex":0},"schema":"https://github.com/citation-style-language/schema/raw/master/csl-citation.json"}</w:instrText>
      </w:r>
      <w:r w:rsidRPr="00196781">
        <w:rPr>
          <w:rFonts w:ascii="Cambria" w:eastAsia="Times New Roman" w:hAnsi="Cambria" w:cstheme="majorBidi"/>
          <w:sz w:val="24"/>
          <w:szCs w:val="24"/>
        </w:rPr>
        <w:fldChar w:fldCharType="separate"/>
      </w:r>
      <w:r w:rsidRPr="00196781">
        <w:rPr>
          <w:rFonts w:ascii="Cambria" w:eastAsia="Times New Roman" w:hAnsi="Cambria" w:cstheme="majorBidi"/>
          <w:noProof/>
          <w:sz w:val="24"/>
          <w:szCs w:val="24"/>
        </w:rPr>
        <w:t>Ruswandi et al. (2024)</w:t>
      </w:r>
      <w:r w:rsidRPr="00196781">
        <w:rPr>
          <w:rFonts w:ascii="Cambria" w:eastAsia="Times New Roman" w:hAnsi="Cambria" w:cstheme="majorBidi"/>
          <w:sz w:val="24"/>
          <w:szCs w:val="24"/>
        </w:rPr>
        <w:fldChar w:fldCharType="end"/>
      </w:r>
      <w:r w:rsidRPr="00196781">
        <w:rPr>
          <w:rFonts w:ascii="Cambria" w:eastAsia="Times New Roman" w:hAnsi="Cambria" w:cstheme="majorBidi"/>
          <w:sz w:val="24"/>
          <w:szCs w:val="24"/>
          <w:lang w:val="id-ID"/>
        </w:rPr>
        <w:t xml:space="preserve"> </w:t>
      </w:r>
      <w:r w:rsidRPr="00196781">
        <w:rPr>
          <w:rFonts w:ascii="Cambria" w:eastAsia="Times New Roman" w:hAnsi="Cambria" w:cstheme="majorBidi"/>
          <w:sz w:val="24"/>
          <w:szCs w:val="24"/>
        </w:rPr>
        <w:t xml:space="preserve">emphasized that the readiness of Islamic Religious Education (PAI) teachers to develop digital learning resources is one of the key factors for the successful integration of technology into religious education. In this regard, online tutoring platforms such as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 can complement existing limitations by providing well-structured learning content that students can access independently without relying entirely on the availability of teachers or parental assistance.</w:t>
      </w:r>
    </w:p>
    <w:p w14:paraId="3564E1B2" w14:textId="6111C0E7" w:rsidR="00196781" w:rsidRDefault="00196781" w:rsidP="00196781">
      <w:pPr>
        <w:spacing w:after="0" w:line="240" w:lineRule="auto"/>
        <w:ind w:left="426" w:right="71" w:firstLine="567"/>
        <w:jc w:val="both"/>
        <w:rPr>
          <w:rFonts w:ascii="Cambria" w:eastAsia="Cambria" w:hAnsi="Cambria" w:cs="Cambria"/>
          <w:color w:val="EE0000"/>
          <w:sz w:val="24"/>
          <w:szCs w:val="24"/>
        </w:rPr>
      </w:pPr>
      <w:r w:rsidRPr="00196781">
        <w:rPr>
          <w:rFonts w:ascii="Cambria" w:eastAsia="Times New Roman" w:hAnsi="Cambria" w:cstheme="majorBidi"/>
          <w:sz w:val="24"/>
          <w:szCs w:val="24"/>
        </w:rPr>
        <w:t xml:space="preserve">Previous studies on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 have primarily focused on general subjects. </w:t>
      </w:r>
      <w:r w:rsidRPr="00196781">
        <w:rPr>
          <w:rFonts w:ascii="Cambria" w:eastAsia="Times New Roman" w:hAnsi="Cambria" w:cstheme="majorBidi"/>
          <w:sz w:val="24"/>
          <w:szCs w:val="24"/>
        </w:rPr>
        <w:fldChar w:fldCharType="begin" w:fldLock="1"/>
      </w:r>
      <w:r w:rsidRPr="00196781">
        <w:rPr>
          <w:rFonts w:ascii="Cambria" w:eastAsia="Times New Roman" w:hAnsi="Cambria" w:cstheme="majorBidi"/>
          <w:sz w:val="24"/>
          <w:szCs w:val="24"/>
        </w:rPr>
        <w:instrText>ADDIN CSL_CITATION {"citationItems":[{"id":"ITEM-1","itemData":{"DOI":"10.22373/JI.V7I01.9919","ISSN":"3110-7443","abstract":"Proses pembelajaran di kelas secara tatap muka mulai kehilangan dayatariknya di era 21 ini. Untuk mengakomodasi perkembangan teknologi tanpa harus meninggalkan pembelajaran secara tatap muka, blended learning dapat menjadi solusinya. Blended learning adalah model yang mengkombinasikan pembelajaran tatap muka dengan pembelajaran e-learning. Rumusan masalahnya adalah “Bagaimanakah model pembelajaran blended learning berbasis bimbel online “RuangGuru ” dapatmeningkatkan kemandirian belajar dan hasil belajar matematika peserta didik MAN 1 Aceh Besar?”. Subjek kegiatan pembelajaran ini adalah seluruh peserta didik kelas XII MIA di MAN 1 Aceh Besar yang berjumlah 83 orang, terdiri dari 66 peserta didik perempuan dan 17 laki-laki. Sedangkan yang menjadi objek tindakan adalah kemandirian belajar dan hasil belajar peserta didik. Kesimpulan dari penulisan ini adalah pembelajaranblended learning berbasis bimbel online “RuangGuru ” dapat meningkatkan kemandirian belajar dan hasil belajar matematika peserta didik MAN1 Aceh Besar. Kemandirian belajar yang dimaksud terletak pada aspek strategi, motivasi, dan aspek perencanaan dalam pembelajaran. Peserta didik juga sangat antusias dengan pembelajaran blended learning berbasis bimbel online “Ruang Guru ”.","author":[{"dropping-particle":"","family":"Ulfa","given":"Maria","non-dropping-particle":"","parse-names":false,"suffix":""}],"container-title":"Intelektualita: Journal of Education Sciences and Teacher Training","id":"ITEM-1","issue":"01","issued":{"date-parts":[["2021"]]},"title":"BLENDED LEARNING BERBASIS BIMBEL ONLINE “RUANGGURU” DALAM MENINGKATKAN KEMANDIRIAN BELAJAR DAN HASIL BELAJAR MATEMATIKA DI MAN 1 ACEH BESAR","type":"article-journal","volume":"7"},"uris":["http://www.mendeley.com/documents/?uuid=4175f7fc-f0f8-3bae-b98d-6c6b1f104717"]}],"mendeley":{"formattedCitation":"(Ulfa, 2021)","plainTextFormattedCitation":"(Ulfa, 2021)","previouslyFormattedCitation":"(Ulfa, 2021)"},"properties":{"noteIndex":0},"schema":"https://github.com/citation-style-language/schema/raw/master/csl-citation.json"}</w:instrText>
      </w:r>
      <w:r w:rsidRPr="00196781">
        <w:rPr>
          <w:rFonts w:ascii="Cambria" w:eastAsia="Times New Roman" w:hAnsi="Cambria" w:cstheme="majorBidi"/>
          <w:sz w:val="24"/>
          <w:szCs w:val="24"/>
        </w:rPr>
        <w:fldChar w:fldCharType="separate"/>
      </w:r>
      <w:r w:rsidRPr="00196781">
        <w:rPr>
          <w:rFonts w:ascii="Cambria" w:eastAsia="Times New Roman" w:hAnsi="Cambria" w:cstheme="majorBidi"/>
          <w:noProof/>
          <w:sz w:val="24"/>
          <w:szCs w:val="24"/>
        </w:rPr>
        <w:t>Ulfa (2021)</w:t>
      </w:r>
      <w:r w:rsidRPr="00196781">
        <w:rPr>
          <w:rFonts w:ascii="Cambria" w:eastAsia="Times New Roman" w:hAnsi="Cambria" w:cstheme="majorBidi"/>
          <w:sz w:val="24"/>
          <w:szCs w:val="24"/>
        </w:rPr>
        <w:fldChar w:fldCharType="end"/>
      </w:r>
      <w:r w:rsidRPr="00196781">
        <w:rPr>
          <w:rFonts w:ascii="Cambria" w:eastAsia="Times New Roman" w:hAnsi="Cambria" w:cstheme="majorBidi"/>
          <w:sz w:val="24"/>
          <w:szCs w:val="24"/>
        </w:rPr>
        <w:t xml:space="preserve"> found that the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-based blended learning model significantly improved students’ learning independence and mathematics achievement at MAN 1 Aceh Besar. Similar findings were reported by </w:t>
      </w:r>
      <w:r w:rsidRPr="00196781">
        <w:rPr>
          <w:rFonts w:ascii="Cambria" w:eastAsia="Times New Roman" w:hAnsi="Cambria" w:cstheme="majorBidi"/>
          <w:sz w:val="24"/>
          <w:szCs w:val="24"/>
        </w:rPr>
        <w:fldChar w:fldCharType="begin" w:fldLock="1"/>
      </w:r>
      <w:r w:rsidRPr="00196781">
        <w:rPr>
          <w:rFonts w:ascii="Cambria" w:eastAsia="Times New Roman" w:hAnsi="Cambria" w:cstheme="majorBidi"/>
          <w:sz w:val="24"/>
          <w:szCs w:val="24"/>
        </w:rPr>
        <w:instrText>ADDIN CSL_CITATION {"citationItems":[{"id":"ITEM-1","itemData":{"DOI":"10.26858/PJPPSD.V2I3.36018","ISSN":"2807-7016","abstract":"This research is a type of quantitative research with a pre-experimental research design. The purpose of this study was to determine students' mathematics learning outcomes and to find out the significant differences before and after using the Ruangguru application media. The research design used was One-Group Pretest-Posttest Design.. Data collection techniques are learning outcomes tests to measure student learning outcomes before and after using the Ruangguru application media. The data analysis used is descriptive statistical analysis which obtains an average pretest of 30.33 which shows student learning outcomes before learning using the Ruangguru application media are in the less category and the posttest average is 80.83 which indicates that student learning outcomes after learning using the Ruangguru application media was in the good category, and inferential statistical analysis obtained N-Gain data, namely 0.7301 which was included in the high category. The results of the study showed that there were significant differences before and after learning using the Ruangguru application media on the mathematics learning outcomes of fifth grade students at SDN 146 Bengo, Bone   Regency.","author":[{"dropping-particle":"","family":"Muin","given":"Awaluddin","non-dropping-particle":"","parse-names":false,"suffix":""},{"dropping-particle":"","family":"Firdaus","given":"Firdaus","non-dropping-particle":"","parse-names":false,"suffix":""},{"dropping-particle":"","family":"Shari","given":"Asmira Mira","non-dropping-particle":"","parse-names":false,"suffix":""}],"container-title":"JPPSD: Jurnal Pendidikan dan Pembelajaran Sekolah Dasar","id":"ITEM-1","issue":"3","issued":{"date-parts":[["2022","10","13"]]},"page":"374-382","publisher":"Universitas Negeri Makassar","title":"Efektivitas Media Aplikasi Ruangguru terhadap Hasil Belajar Matematika Siswa Kelas V SDN 146 Bengo Kecamatan Bengo Kabupaten Bone","type":"article-journal","volume":"2"},"uris":["http://www.mendeley.com/documents/?uuid=7d39853e-163e-3dea-949d-f8bb1dfa02f9"]}],"mendeley":{"formattedCitation":"(Muin et al., 2022)","plainTextFormattedCitation":"(Muin et al., 2022)","previouslyFormattedCitation":"(Muin et al., 2022)"},"properties":{"noteIndex":0},"schema":"https://github.com/citation-style-language/schema/raw/master/csl-citation.json"}</w:instrText>
      </w:r>
      <w:r w:rsidRPr="00196781">
        <w:rPr>
          <w:rFonts w:ascii="Cambria" w:eastAsia="Times New Roman" w:hAnsi="Cambria" w:cstheme="majorBidi"/>
          <w:sz w:val="24"/>
          <w:szCs w:val="24"/>
        </w:rPr>
        <w:fldChar w:fldCharType="separate"/>
      </w:r>
      <w:r w:rsidRPr="00196781">
        <w:rPr>
          <w:rFonts w:ascii="Cambria" w:eastAsia="Times New Roman" w:hAnsi="Cambria" w:cstheme="majorBidi"/>
          <w:noProof/>
          <w:sz w:val="24"/>
          <w:szCs w:val="24"/>
        </w:rPr>
        <w:t>Muin et al. (2022)</w:t>
      </w:r>
      <w:r w:rsidRPr="00196781">
        <w:rPr>
          <w:rFonts w:ascii="Cambria" w:eastAsia="Times New Roman" w:hAnsi="Cambria" w:cstheme="majorBidi"/>
          <w:sz w:val="24"/>
          <w:szCs w:val="24"/>
        </w:rPr>
        <w:fldChar w:fldCharType="end"/>
      </w:r>
      <w:r w:rsidRPr="00196781">
        <w:rPr>
          <w:rFonts w:ascii="Cambria" w:eastAsia="Times New Roman" w:hAnsi="Cambria" w:cstheme="majorBidi"/>
          <w:sz w:val="24"/>
          <w:szCs w:val="24"/>
        </w:rPr>
        <w:t xml:space="preserve">, who observed improvements in mathematics learning outcomes among elementary school students after using the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 application. </w:t>
      </w:r>
      <w:r w:rsidRPr="00196781">
        <w:rPr>
          <w:rFonts w:ascii="Cambria" w:eastAsia="Times New Roman" w:hAnsi="Cambria" w:cstheme="majorBidi"/>
          <w:sz w:val="24"/>
          <w:szCs w:val="24"/>
        </w:rPr>
        <w:fldChar w:fldCharType="begin" w:fldLock="1"/>
      </w:r>
      <w:r w:rsidRPr="00196781">
        <w:rPr>
          <w:rFonts w:ascii="Cambria" w:eastAsia="Times New Roman" w:hAnsi="Cambria" w:cstheme="majorBidi"/>
          <w:sz w:val="24"/>
          <w:szCs w:val="24"/>
        </w:rPr>
        <w:instrText>ADDIN CSL_CITATION {"citationItems":[{"id":"ITEM-1","itemData":{"DOI":"10.17977/UM022V7I12022P11","ISSN":"2503-5347","abstract":"Penelitian ini bertujuan untuk mengetahui efektivitas media pembelajaran berbasis infografis terhadap hasil belajar siswa pada mata pelajaran Ilmu Pengetahuan Sosial. Penelitian ini merupakan jenis penelitian kualitatif dengan menggunakan metode survei. Teknik pengambilan sampel yaitu purposive sampling, yang berdasarkan kriteria subjek penelitian sebanyak 20 siswa pada satu kelas di mata pelajaran IPS. Dokumentasi dan tes penilaian berupa pre-test dan post-test merupakan teknik pengambilan data pada penelitian ini. Data yang diperoleh dianalisis melalui uji Paired Sample t-tes. Berdasarkan pada hasil uji pre-test dan post-test disimpulkan bahwa pemanfaatan media pembelajaran berbasis infografis berpengaruh terhadap hasil belajar siswa.","author":[{"dropping-particle":"","family":"Masluhah","given":"","non-dropping-particle":"","parse-names":false,"suffix":""},{"dropping-particle":"","family":"Rizkiatul Afifah","given":"Kiki","non-dropping-particle":"","parse-names":false,"suffix":""},{"dropping-particle":"","family":"Hafid","given":"Ahmad","non-dropping-particle":"","parse-names":false,"suffix":""}],"container-title":"Jurnal Teori dan Praksis Pembelajaran IPS","id":"ITEM-1","issue":"1","issued":{"date-parts":[["2022","5","1"]]},"page":"11-20","publisher":"State University of Malang (UM)","title":"Efektivitas Media Pembelajaran Berbasis Infografis terhadap Hasil Belajar Siswa Pada Mata Pelajaran IPS","type":"article-journal","volume":"7"},"uris":["http://www.mendeley.com/documents/?uuid=6500c5fe-bcec-3090-b4d1-cb5d469d4314"]}],"mendeley":{"formattedCitation":"(Masluhah et al., 2022)","plainTextFormattedCitation":"(Masluhah et al., 2022)","previouslyFormattedCitation":"(Masluhah et al., 2022)"},"properties":{"noteIndex":0},"schema":"https://github.com/citation-style-language/schema/raw/master/csl-citation.json"}</w:instrText>
      </w:r>
      <w:r w:rsidRPr="00196781">
        <w:rPr>
          <w:rFonts w:ascii="Cambria" w:eastAsia="Times New Roman" w:hAnsi="Cambria" w:cstheme="majorBidi"/>
          <w:sz w:val="24"/>
          <w:szCs w:val="24"/>
        </w:rPr>
        <w:fldChar w:fldCharType="separate"/>
      </w:r>
      <w:r w:rsidRPr="00196781">
        <w:rPr>
          <w:rFonts w:ascii="Cambria" w:eastAsia="Times New Roman" w:hAnsi="Cambria" w:cstheme="majorBidi"/>
          <w:noProof/>
          <w:sz w:val="24"/>
          <w:szCs w:val="24"/>
        </w:rPr>
        <w:t xml:space="preserve">Ariyani </w:t>
      </w:r>
      <w:r w:rsidR="00513B86">
        <w:rPr>
          <w:rFonts w:ascii="Cambria" w:eastAsia="Times New Roman" w:hAnsi="Cambria" w:cstheme="majorBidi"/>
          <w:noProof/>
          <w:sz w:val="24"/>
          <w:szCs w:val="24"/>
        </w:rPr>
        <w:t>and</w:t>
      </w:r>
      <w:r w:rsidRPr="00196781">
        <w:rPr>
          <w:rFonts w:ascii="Cambria" w:eastAsia="Times New Roman" w:hAnsi="Cambria" w:cstheme="majorBidi"/>
          <w:noProof/>
          <w:sz w:val="24"/>
          <w:szCs w:val="24"/>
        </w:rPr>
        <w:t xml:space="preserve"> Setiaji</w:t>
      </w:r>
      <w:r w:rsidR="00513B86">
        <w:rPr>
          <w:rFonts w:ascii="Cambria" w:eastAsia="Times New Roman" w:hAnsi="Cambria" w:cstheme="majorBidi"/>
          <w:noProof/>
          <w:sz w:val="24"/>
          <w:szCs w:val="24"/>
        </w:rPr>
        <w:t xml:space="preserve"> (</w:t>
      </w:r>
      <w:r w:rsidRPr="00196781">
        <w:rPr>
          <w:rFonts w:ascii="Cambria" w:eastAsia="Times New Roman" w:hAnsi="Cambria" w:cstheme="majorBidi"/>
          <w:noProof/>
          <w:sz w:val="24"/>
          <w:szCs w:val="24"/>
        </w:rPr>
        <w:t>2024</w:t>
      </w:r>
      <w:r w:rsidRPr="00196781">
        <w:rPr>
          <w:rFonts w:ascii="Cambria" w:eastAsia="Times New Roman" w:hAnsi="Cambria" w:cstheme="majorBidi"/>
          <w:sz w:val="24"/>
          <w:szCs w:val="24"/>
        </w:rPr>
        <w:fldChar w:fldCharType="end"/>
      </w:r>
      <w:r w:rsidR="00513B86">
        <w:rPr>
          <w:rFonts w:ascii="Cambria" w:eastAsia="Times New Roman" w:hAnsi="Cambria" w:cstheme="majorBidi"/>
          <w:sz w:val="24"/>
          <w:szCs w:val="24"/>
        </w:rPr>
        <w:t>)</w:t>
      </w:r>
      <w:r w:rsidRPr="00196781">
        <w:rPr>
          <w:rFonts w:ascii="Cambria" w:eastAsia="Times New Roman" w:hAnsi="Cambria" w:cstheme="majorBidi"/>
          <w:sz w:val="24"/>
          <w:szCs w:val="24"/>
          <w:lang w:val="id-ID"/>
        </w:rPr>
        <w:t xml:space="preserve"> </w:t>
      </w:r>
      <w:r w:rsidR="00513B86" w:rsidRPr="00513B86">
        <w:rPr>
          <w:rFonts w:ascii="Cambria" w:eastAsia="Times New Roman" w:hAnsi="Cambria" w:cstheme="majorBidi"/>
          <w:sz w:val="24"/>
          <w:szCs w:val="24"/>
        </w:rPr>
        <w:t xml:space="preserve">also found that the </w:t>
      </w:r>
      <w:proofErr w:type="spellStart"/>
      <w:r w:rsidR="00513B86" w:rsidRPr="00513B86">
        <w:rPr>
          <w:rFonts w:ascii="Cambria" w:eastAsia="Times New Roman" w:hAnsi="Cambria" w:cstheme="majorBidi"/>
          <w:sz w:val="24"/>
          <w:szCs w:val="24"/>
        </w:rPr>
        <w:t>Ruangguru</w:t>
      </w:r>
      <w:proofErr w:type="spellEnd"/>
      <w:r w:rsidR="00513B86" w:rsidRPr="00513B86">
        <w:rPr>
          <w:rFonts w:ascii="Cambria" w:eastAsia="Times New Roman" w:hAnsi="Cambria" w:cstheme="majorBidi"/>
          <w:sz w:val="24"/>
          <w:szCs w:val="24"/>
        </w:rPr>
        <w:t xml:space="preserve"> application could support students’ mathematical problem-solving ability when integrated with appropriate learning models.</w:t>
      </w:r>
    </w:p>
    <w:p w14:paraId="6A463EF8" w14:textId="3C3E197F" w:rsidR="00196781" w:rsidRPr="00196781" w:rsidRDefault="00196781" w:rsidP="00196781">
      <w:pPr>
        <w:spacing w:after="120" w:line="240" w:lineRule="auto"/>
        <w:ind w:left="426" w:right="71" w:firstLine="567"/>
        <w:jc w:val="both"/>
        <w:rPr>
          <w:rFonts w:ascii="Cambria" w:eastAsia="Cambria" w:hAnsi="Cambria" w:cs="Cambria"/>
          <w:color w:val="EE0000"/>
          <w:sz w:val="24"/>
          <w:szCs w:val="24"/>
        </w:rPr>
      </w:pPr>
      <w:r w:rsidRPr="00196781">
        <w:rPr>
          <w:rFonts w:ascii="Cambria" w:eastAsia="Times New Roman" w:hAnsi="Cambria" w:cstheme="majorBidi"/>
          <w:sz w:val="24"/>
          <w:szCs w:val="24"/>
        </w:rPr>
        <w:t xml:space="preserve">Nevertheless, these studies mainly examined the effectiveness of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 in general subjects, particularly Mathematics and Natural Sciences. To date, studies specifically investigating the use of </w:t>
      </w:r>
      <w:proofErr w:type="spellStart"/>
      <w:r w:rsidRPr="00196781">
        <w:rPr>
          <w:rFonts w:ascii="Cambria" w:eastAsia="Times New Roman" w:hAnsi="Cambria" w:cstheme="majorBidi"/>
          <w:sz w:val="24"/>
          <w:szCs w:val="24"/>
        </w:rPr>
        <w:t>Ruangguru</w:t>
      </w:r>
      <w:proofErr w:type="spellEnd"/>
      <w:r w:rsidRPr="00196781">
        <w:rPr>
          <w:rFonts w:ascii="Cambria" w:eastAsia="Times New Roman" w:hAnsi="Cambria" w:cstheme="majorBidi"/>
          <w:sz w:val="24"/>
          <w:szCs w:val="24"/>
        </w:rPr>
        <w:t xml:space="preserve"> as an online tutoring platform for Islamic Religious Education (PAI), especially at the madrasah </w:t>
      </w:r>
      <w:proofErr w:type="spellStart"/>
      <w:r w:rsidRPr="00196781">
        <w:rPr>
          <w:rFonts w:ascii="Cambria" w:eastAsia="Times New Roman" w:hAnsi="Cambria" w:cstheme="majorBidi"/>
          <w:sz w:val="24"/>
          <w:szCs w:val="24"/>
        </w:rPr>
        <w:t>ibtidaiyah</w:t>
      </w:r>
      <w:proofErr w:type="spellEnd"/>
      <w:r w:rsidRPr="00196781">
        <w:rPr>
          <w:rFonts w:ascii="Cambria" w:eastAsia="Times New Roman" w:hAnsi="Cambria" w:cstheme="majorBidi"/>
          <w:sz w:val="24"/>
          <w:szCs w:val="24"/>
        </w:rPr>
        <w:t xml:space="preserve"> level, remain scarce. Consequently, there is a significant research gap regarding the implementation of digital tutoring platforms in PAI learning. This study seeks to address this gap by </w:t>
      </w:r>
      <w:proofErr w:type="spellStart"/>
      <w:r w:rsidRPr="00196781">
        <w:rPr>
          <w:rFonts w:ascii="Cambria" w:eastAsia="Times New Roman" w:hAnsi="Cambria" w:cstheme="majorBidi"/>
          <w:sz w:val="24"/>
          <w:szCs w:val="24"/>
        </w:rPr>
        <w:t>analyzing</w:t>
      </w:r>
      <w:proofErr w:type="spellEnd"/>
      <w:r w:rsidRPr="00196781">
        <w:rPr>
          <w:rFonts w:ascii="Cambria" w:eastAsia="Times New Roman" w:hAnsi="Cambria" w:cstheme="majorBidi"/>
          <w:sz w:val="24"/>
          <w:szCs w:val="24"/>
        </w:rPr>
        <w:t xml:space="preserve"> the PAI learning model implemented through the </w:t>
      </w:r>
      <w:proofErr w:type="spellStart"/>
      <w:r w:rsidRPr="00196781">
        <w:rPr>
          <w:rFonts w:ascii="Cambria" w:eastAsia="Times New Roman" w:hAnsi="Cambria" w:cstheme="majorBidi"/>
          <w:sz w:val="24"/>
          <w:szCs w:val="24"/>
        </w:rPr>
        <w:t>Ruangngaji</w:t>
      </w:r>
      <w:proofErr w:type="spellEnd"/>
      <w:r w:rsidRPr="00196781">
        <w:rPr>
          <w:rFonts w:ascii="Cambria" w:eastAsia="Times New Roman" w:hAnsi="Cambria" w:cstheme="majorBidi"/>
          <w:sz w:val="24"/>
          <w:szCs w:val="24"/>
        </w:rPr>
        <w:t xml:space="preserve"> feature and examining its role in supporting the learning process of students at MI Al-Azhar Samarinda.</w:t>
      </w:r>
    </w:p>
    <w:p w14:paraId="746A40F6" w14:textId="4A736E24" w:rsidR="0039525E" w:rsidRPr="00186919" w:rsidRDefault="00196781" w:rsidP="00367B8E">
      <w:pPr>
        <w:numPr>
          <w:ilvl w:val="3"/>
          <w:numId w:val="1"/>
        </w:numPr>
        <w:pBdr>
          <w:top w:val="nil"/>
          <w:left w:val="nil"/>
          <w:bottom w:val="nil"/>
          <w:right w:val="nil"/>
          <w:between w:val="nil"/>
        </w:pBdr>
        <w:spacing w:after="0" w:line="240" w:lineRule="auto"/>
        <w:ind w:left="426"/>
        <w:rPr>
          <w:rFonts w:ascii="Cambria" w:eastAsia="Cambria" w:hAnsi="Cambria" w:cs="Cambria"/>
          <w:b/>
          <w:bCs/>
          <w:color w:val="000000"/>
          <w:sz w:val="24"/>
          <w:szCs w:val="24"/>
        </w:rPr>
      </w:pPr>
      <w:r w:rsidRPr="00196781">
        <w:rPr>
          <w:rFonts w:ascii="Cambria" w:eastAsia="Cambria" w:hAnsi="Cambria" w:cs="Cambria"/>
          <w:b/>
          <w:bCs/>
          <w:color w:val="000000"/>
          <w:sz w:val="24"/>
          <w:szCs w:val="24"/>
        </w:rPr>
        <w:t>Digital Learning Media and Islamic Religious Education (PAI)</w:t>
      </w:r>
      <w:r w:rsidR="00320985" w:rsidRPr="00186919">
        <w:rPr>
          <w:rFonts w:ascii="Cambria" w:eastAsia="Cambria" w:hAnsi="Cambria" w:cs="Cambria"/>
          <w:b/>
          <w:bCs/>
          <w:color w:val="000000"/>
          <w:sz w:val="24"/>
          <w:szCs w:val="24"/>
        </w:rPr>
        <w:t xml:space="preserve"> </w:t>
      </w:r>
    </w:p>
    <w:p w14:paraId="5D7A0BF9" w14:textId="77777777" w:rsidR="00874B1E" w:rsidRDefault="00874B1E" w:rsidP="00874B1E">
      <w:pPr>
        <w:spacing w:after="0" w:line="240" w:lineRule="auto"/>
        <w:ind w:left="426" w:right="71" w:firstLine="567"/>
        <w:jc w:val="both"/>
        <w:rPr>
          <w:rFonts w:ascii="Cambria" w:eastAsia="Cambria" w:hAnsi="Cambria" w:cs="Cambria"/>
          <w:color w:val="EE0000"/>
          <w:sz w:val="24"/>
          <w:szCs w:val="24"/>
        </w:rPr>
      </w:pPr>
      <w:r w:rsidRPr="00874B1E">
        <w:rPr>
          <w:rFonts w:ascii="Cambria" w:eastAsia="Times New Roman" w:hAnsi="Cambria" w:cs="Times New Roman"/>
          <w:sz w:val="24"/>
          <w:szCs w:val="24"/>
          <w:lang w:val="en-US" w:eastAsia="en-US"/>
        </w:rPr>
        <w:t xml:space="preserve">The use of digital learning media has been proven to positively influence students’ motivation and learning outcomes across various educational levels. </w:t>
      </w:r>
      <w:r w:rsidRPr="00874B1E">
        <w:rPr>
          <w:rFonts w:ascii="Cambria" w:eastAsia="Times New Roman" w:hAnsi="Cambria" w:cs="Times New Roman"/>
          <w:sz w:val="24"/>
          <w:szCs w:val="24"/>
          <w:lang w:val="en-US" w:eastAsia="en-US"/>
        </w:rPr>
        <w:fldChar w:fldCharType="begin" w:fldLock="1"/>
      </w:r>
      <w:r w:rsidRPr="00874B1E">
        <w:rPr>
          <w:rFonts w:ascii="Cambria" w:eastAsia="Times New Roman" w:hAnsi="Cambria" w:cs="Times New Roman"/>
          <w:sz w:val="24"/>
          <w:szCs w:val="24"/>
          <w:lang w:val="en-US" w:eastAsia="en-US"/>
        </w:rPr>
        <w:instrText>ADDIN CSL_CITATION {"citationItems":[{"id":"ITEM-1","itemData":{"author":[{"dropping-particle":"","family":"Rusdi","given":"H.","non-dropping-particle":"","parse-names":false,"suffix":""},{"dropping-particle":"","family":"Ervianti","given":"R.","non-dropping-particle":"","parse-names":false,"suffix":""},{"dropping-particle":"","family":"Adrias","given":"A.","non-dropping-particle":"","parse-names":false,"suffix":""},{"dropping-particle":"","family":"Zulkarnaini","given":"A. P.","non-dropping-particle":"","parse-names":false,"suffix":""}],"container-title":"Pendas: Jurnal Ilmiah Pendidikan DasarPP8","id":"ITEM-1","issue":"2","issued":{"date-parts":[["2025"]]},"page":"347–360","title":"Pengaruh Media Pembelajaran Digital Terhadap Motivasi Belajar Siswa Sekolah Dasar","type":"article-journal","volume":"10"},"uris":["http://www.mendeley.com/documents/?uuid=2686c43e-f27e-4cd1-bdc3-e50d83a28cc1"]}],"mendeley":{"formattedCitation":"(Rusdi et al., 2025)","plainTextFormattedCitation":"(Rusdi et al., 2025)","previouslyFormattedCitation":"(Rusdi et al., 2025)"},"properties":{"noteIndex":0},"schema":"https://github.com/citation-style-language/schema/raw/master/csl-citation.json"}</w:instrText>
      </w:r>
      <w:r w:rsidRPr="00874B1E">
        <w:rPr>
          <w:rFonts w:ascii="Cambria" w:eastAsia="Times New Roman" w:hAnsi="Cambria" w:cs="Times New Roman"/>
          <w:sz w:val="24"/>
          <w:szCs w:val="24"/>
          <w:lang w:val="en-US" w:eastAsia="en-US"/>
        </w:rPr>
        <w:fldChar w:fldCharType="separate"/>
      </w:r>
      <w:r w:rsidRPr="00874B1E">
        <w:rPr>
          <w:rFonts w:ascii="Cambria" w:eastAsia="Times New Roman" w:hAnsi="Cambria" w:cs="Times New Roman"/>
          <w:noProof/>
          <w:sz w:val="24"/>
          <w:szCs w:val="24"/>
          <w:lang w:val="en-US" w:eastAsia="en-US"/>
        </w:rPr>
        <w:t>Rusdi et al. (2025)</w:t>
      </w:r>
      <w:r w:rsidRPr="00874B1E">
        <w:rPr>
          <w:rFonts w:ascii="Cambria" w:eastAsia="Times New Roman" w:hAnsi="Cambria" w:cs="Times New Roman"/>
          <w:sz w:val="24"/>
          <w:szCs w:val="24"/>
          <w:lang w:val="en-US" w:eastAsia="en-US"/>
        </w:rPr>
        <w:fldChar w:fldCharType="end"/>
      </w:r>
      <w:r w:rsidRPr="00874B1E">
        <w:rPr>
          <w:rFonts w:ascii="Cambria" w:eastAsia="Times New Roman" w:hAnsi="Cambria" w:cs="Times New Roman"/>
          <w:sz w:val="24"/>
          <w:szCs w:val="24"/>
          <w:lang w:val="id-ID" w:eastAsia="en-US"/>
        </w:rPr>
        <w:t xml:space="preserve"> </w:t>
      </w:r>
      <w:r w:rsidRPr="00874B1E">
        <w:rPr>
          <w:rFonts w:ascii="Cambria" w:eastAsia="Times New Roman" w:hAnsi="Cambria" w:cs="Times New Roman"/>
          <w:sz w:val="24"/>
          <w:szCs w:val="24"/>
          <w:lang w:val="en-US" w:eastAsia="en-US"/>
        </w:rPr>
        <w:t>found that the use of digital media in elementary schools significantly enhanced students’ enthusiasm for learning because the learning process became more engaging, interactive, and less monotonous. This finding is particularly relevant to PAI learning, which has often been perceived as less engaging by some students.</w:t>
      </w:r>
    </w:p>
    <w:p w14:paraId="7B2A2BBE" w14:textId="63FC3494" w:rsidR="00196781" w:rsidRPr="00874B1E" w:rsidRDefault="00874B1E" w:rsidP="00874B1E">
      <w:pPr>
        <w:spacing w:after="120" w:line="240" w:lineRule="auto"/>
        <w:ind w:left="426" w:right="71" w:firstLine="567"/>
        <w:jc w:val="both"/>
        <w:rPr>
          <w:rFonts w:ascii="Cambria" w:eastAsia="Cambria" w:hAnsi="Cambria" w:cs="Cambria"/>
          <w:color w:val="EE0000"/>
          <w:sz w:val="24"/>
          <w:szCs w:val="24"/>
        </w:rPr>
      </w:pPr>
      <w:r w:rsidRPr="00874B1E">
        <w:rPr>
          <w:rFonts w:ascii="Cambria" w:eastAsia="Times New Roman" w:hAnsi="Cambria" w:cs="Times New Roman"/>
          <w:sz w:val="24"/>
          <w:szCs w:val="24"/>
          <w:lang w:val="en-US" w:eastAsia="en-US"/>
        </w:rPr>
        <w:t xml:space="preserve">More specifically, </w:t>
      </w:r>
      <w:r w:rsidRPr="00874B1E">
        <w:rPr>
          <w:rFonts w:ascii="Cambria" w:eastAsia="Times New Roman" w:hAnsi="Cambria" w:cs="Times New Roman"/>
          <w:sz w:val="24"/>
          <w:szCs w:val="24"/>
          <w:lang w:val="en-US" w:eastAsia="en-US"/>
        </w:rPr>
        <w:fldChar w:fldCharType="begin" w:fldLock="1"/>
      </w:r>
      <w:r w:rsidRPr="00874B1E">
        <w:rPr>
          <w:rFonts w:ascii="Cambria" w:eastAsia="Times New Roman" w:hAnsi="Cambria" w:cs="Times New Roman"/>
          <w:sz w:val="24"/>
          <w:szCs w:val="24"/>
          <w:lang w:val="en-US" w:eastAsia="en-US"/>
        </w:rPr>
        <w:instrText>ADDIN CSL_CITATION {"citationItems":[{"id":"ITEM-1","itemData":{"DOI":"10.37680/SCAFFOLDING.V5I3.3700","ISSN":"2656-4548","abstract":"This study aims to (1) examine the learning media in teaching Islamic Religious Education, (2) discover the innovation of Islamic Religious Education teachers in utilizing digital-based learning media, (3) unveil the creativity of Islamic Religious Education teachers in developing learning material (4) and imply Religious Education teacher’s innovation and creativity in utilizing digital learning media. The research utilizes a qualitative study with a literature-based approach (Library Research). The research data consists of information regarding the innovation and creativity of Islamic Religious Education teachers in utilizing digital-based learning media. The data was obtained from various sources such as books, scholarly journals, academic works, relevant literature, and other publications. The data collection technique employed in this research is documentation and analysis using content analysis. The findings revealed that digital-based learning media in Islamic Religious Education includes internet-connected animated videos, Google Classroom as an online learning platform, Quizziz as an online game, and WhatsApp as a social media application. Furthermore, innovation by Islamic Religious Education teachers in utilizing digital learning media includes the use of digital learning media in the form of animated videos for teaching Islamic concepts. The implementation of this digital-era teaching model was supported by an internet network, blended learning, and innovative digital learning media that created a more engaging, interactive, and relevant learning environment. Furthermore, it discloses the creativity of Islamic Religious Education teachers in applying digital-based learning through digital video animations using Google Classroom as a digital learning platform and utilizing WhatsApp for instructional purposes. The study's implications suggest that utilizing digital learning media has significant impacts on boosting the quality of learning Islamic Religious Education, enhancing student motivation and interest, improving accessibility to learning resources, and increasing the effectiveness of assessment and feedback.","author":[{"dropping-particle":"","family":"Kharismatunisa","given":"Ilma","non-dropping-particle":"","parse-names":false,"suffix":""}],"container-title":"Scaffolding: Jurnal Pendidikan Islam dan Multikulturalisme","id":"ITEM-1","issue":"3","issued":{"date-parts":[["2023","9","23"]]},"page":"519-538","publisher":"Omah Jurnal Sunan Giri, INSURI Ponorogo","title":"Innovation and Creativity of Islamic Religious Education Teachers in Utilizing Digital-Based Learning Media","type":"article-journal","volume":"5"},"uris":["http://www.mendeley.com/documents/?uuid=8c602f0c-a10b-3dd0-8076-48042ceccdc0"]}],"mendeley":{"formattedCitation":"(Kharismatunisa, 2023)","plainTextFormattedCitation":"(Kharismatunisa, 2023)","previouslyFormattedCitation":"(Kharismatunisa, 2023)"},"properties":{"noteIndex":0},"schema":"https://github.com/citation-style-language/schema/raw/master/csl-citation.json"}</w:instrText>
      </w:r>
      <w:r w:rsidRPr="00874B1E">
        <w:rPr>
          <w:rFonts w:ascii="Cambria" w:eastAsia="Times New Roman" w:hAnsi="Cambria" w:cs="Times New Roman"/>
          <w:sz w:val="24"/>
          <w:szCs w:val="24"/>
          <w:lang w:val="en-US" w:eastAsia="en-US"/>
        </w:rPr>
        <w:fldChar w:fldCharType="separate"/>
      </w:r>
      <w:r w:rsidRPr="00874B1E">
        <w:rPr>
          <w:rFonts w:ascii="Cambria" w:eastAsia="Times New Roman" w:hAnsi="Cambria" w:cs="Times New Roman"/>
          <w:noProof/>
          <w:sz w:val="24"/>
          <w:szCs w:val="24"/>
          <w:lang w:val="en-US" w:eastAsia="en-US"/>
        </w:rPr>
        <w:t>Kharismatunisa (2023)</w:t>
      </w:r>
      <w:r w:rsidRPr="00874B1E">
        <w:rPr>
          <w:rFonts w:ascii="Cambria" w:eastAsia="Times New Roman" w:hAnsi="Cambria" w:cs="Times New Roman"/>
          <w:sz w:val="24"/>
          <w:szCs w:val="24"/>
          <w:lang w:val="en-US" w:eastAsia="en-US"/>
        </w:rPr>
        <w:fldChar w:fldCharType="end"/>
      </w:r>
      <w:r w:rsidRPr="00874B1E">
        <w:rPr>
          <w:rFonts w:ascii="Cambria" w:eastAsia="Times New Roman" w:hAnsi="Cambria" w:cs="Times New Roman"/>
          <w:sz w:val="24"/>
          <w:szCs w:val="24"/>
          <w:lang w:val="id-ID" w:eastAsia="en-US"/>
        </w:rPr>
        <w:t xml:space="preserve"> </w:t>
      </w:r>
      <w:r w:rsidRPr="00874B1E">
        <w:rPr>
          <w:rFonts w:ascii="Cambria" w:eastAsia="Times New Roman" w:hAnsi="Cambria" w:cs="Times New Roman"/>
          <w:sz w:val="24"/>
          <w:szCs w:val="24"/>
          <w:lang w:val="en-US" w:eastAsia="en-US"/>
        </w:rPr>
        <w:t xml:space="preserve">observed that PAI teachers who creatively utilized digital learning media succeeded in significantly increasing student engagement. Likewise, </w:t>
      </w:r>
      <w:r w:rsidRPr="00874B1E">
        <w:rPr>
          <w:rFonts w:ascii="Cambria" w:eastAsia="Times New Roman" w:hAnsi="Cambria" w:cs="Times New Roman"/>
          <w:sz w:val="24"/>
          <w:szCs w:val="24"/>
          <w:lang w:val="en-US" w:eastAsia="en-US"/>
        </w:rPr>
        <w:fldChar w:fldCharType="begin" w:fldLock="1"/>
      </w:r>
      <w:r w:rsidRPr="00874B1E">
        <w:rPr>
          <w:rFonts w:ascii="Cambria" w:eastAsia="Times New Roman" w:hAnsi="Cambria" w:cs="Times New Roman"/>
          <w:sz w:val="24"/>
          <w:szCs w:val="24"/>
          <w:lang w:val="en-US" w:eastAsia="en-US"/>
        </w:rPr>
        <w:instrText>ADDIN CSL_CITATION {"citationItems":[{"id":"ITEM-1","itemData":{"DOI":"10.47353/BJ.V4I3.352","ISSN":"2797-1082","abstract":"The use of technology in Islamic religious education (PAI) has become a primary focus in developing effective and relevant teaching methods. This article explores the integration of technology in the design of PAI learning to enhance student engagement and teaching efficiency. A literature review identifies that traditional approaches in PAI education can be enhanced through digital technology, such as interactive applications, e-learning platforms, and social media, which support interaction and deeper understanding of religious teachings. Qualitative research methods were employed to evaluate the implementation of technology in PAI learning at secondary schools. The findings indicate that integrating technology not only increases students' interest in PAI subjects but also expands their access to a wider range of educational resources. The practical implications of this research emphasize the importance of training educators to adopt technology as a tool to enhance the PAI learning experience. This study provides guidance for curriculum developers and educational policymakers to harness the potential of technology in supporting holistic and effective Islamic religious education.","author":[{"dropping-particle":"","family":"Rayhani","given":"A","non-dropping-particle":"","parse-names":false,"suffix":""},{"dropping-particle":"","family":"Hanapi","given":"Wahyu","non-dropping-particle":"","parse-names":false,"suffix":""},{"dropping-particle":"","family":"Cahyadi","given":"Ani","non-dropping-particle":"","parse-names":false,"suffix":""}],"container-title":"Berajah Journal","id":"ITEM-1","issue":"3","issued":{"date-parts":[["2024","6","27"]]},"page":"615-624","title":"PENGEMBANGAN TEKNOLOGI DALAM DESAIN PEMBELAJARAN PAI","type":"article-journal","volume":"4"},"uris":["http://www.mendeley.com/documents/?uuid=1aaf3b18-94cf-3378-ba26-ec2da8f17414"]}],"mendeley":{"formattedCitation":"(Rayhani et al., 2024)","plainTextFormattedCitation":"(Rayhani et al., 2024)","previouslyFormattedCitation":"(Rayhani et al., 2024)"},"properties":{"noteIndex":0},"schema":"https://github.com/citation-style-language/schema/raw/master/csl-citation.json"}</w:instrText>
      </w:r>
      <w:r w:rsidRPr="00874B1E">
        <w:rPr>
          <w:rFonts w:ascii="Cambria" w:eastAsia="Times New Roman" w:hAnsi="Cambria" w:cs="Times New Roman"/>
          <w:sz w:val="24"/>
          <w:szCs w:val="24"/>
          <w:lang w:val="en-US" w:eastAsia="en-US"/>
        </w:rPr>
        <w:fldChar w:fldCharType="separate"/>
      </w:r>
      <w:r w:rsidRPr="00874B1E">
        <w:rPr>
          <w:rFonts w:ascii="Cambria" w:eastAsia="Times New Roman" w:hAnsi="Cambria" w:cs="Times New Roman"/>
          <w:noProof/>
          <w:sz w:val="24"/>
          <w:szCs w:val="24"/>
          <w:lang w:val="en-US" w:eastAsia="en-US"/>
        </w:rPr>
        <w:t>Rayhani et al. (2024)</w:t>
      </w:r>
      <w:r w:rsidRPr="00874B1E">
        <w:rPr>
          <w:rFonts w:ascii="Cambria" w:eastAsia="Times New Roman" w:hAnsi="Cambria" w:cs="Times New Roman"/>
          <w:sz w:val="24"/>
          <w:szCs w:val="24"/>
          <w:lang w:val="en-US" w:eastAsia="en-US"/>
        </w:rPr>
        <w:fldChar w:fldCharType="end"/>
      </w:r>
      <w:r w:rsidRPr="00874B1E">
        <w:rPr>
          <w:rFonts w:ascii="Cambria" w:eastAsia="Times New Roman" w:hAnsi="Cambria" w:cs="Times New Roman"/>
          <w:sz w:val="24"/>
          <w:szCs w:val="24"/>
          <w:lang w:val="en-US" w:eastAsia="en-US"/>
        </w:rPr>
        <w:t xml:space="preserve"> argued that integrating media and technology into PAI learning is not merely about transferring content to digital screens but also about expanding students’ learning experiences beyond the boundaries of the traditional classroom.</w:t>
      </w:r>
    </w:p>
    <w:p w14:paraId="2A073852" w14:textId="698F03A6" w:rsidR="0039525E" w:rsidRPr="00186919" w:rsidRDefault="003208A2" w:rsidP="00367B8E">
      <w:pPr>
        <w:numPr>
          <w:ilvl w:val="3"/>
          <w:numId w:val="1"/>
        </w:numPr>
        <w:pBdr>
          <w:top w:val="nil"/>
          <w:left w:val="nil"/>
          <w:bottom w:val="nil"/>
          <w:right w:val="nil"/>
          <w:between w:val="nil"/>
        </w:pBdr>
        <w:spacing w:after="0" w:line="240" w:lineRule="auto"/>
        <w:ind w:left="426"/>
        <w:rPr>
          <w:rFonts w:ascii="Cambria" w:eastAsia="Cambria" w:hAnsi="Cambria" w:cs="Cambria"/>
          <w:b/>
          <w:bCs/>
          <w:color w:val="000000"/>
          <w:sz w:val="24"/>
          <w:szCs w:val="24"/>
        </w:rPr>
      </w:pPr>
      <w:r w:rsidRPr="003208A2">
        <w:rPr>
          <w:rFonts w:ascii="Cambria" w:eastAsia="Cambria" w:hAnsi="Cambria" w:cs="Cambria"/>
          <w:b/>
          <w:bCs/>
          <w:color w:val="000000"/>
          <w:sz w:val="24"/>
          <w:szCs w:val="24"/>
        </w:rPr>
        <w:t>Infographics and Interactive Videos as Learning Media</w:t>
      </w:r>
      <w:r w:rsidR="00320985" w:rsidRPr="00186919">
        <w:rPr>
          <w:rFonts w:ascii="Cambria" w:eastAsia="Cambria" w:hAnsi="Cambria" w:cs="Cambria"/>
          <w:b/>
          <w:bCs/>
          <w:color w:val="000000"/>
          <w:sz w:val="24"/>
          <w:szCs w:val="24"/>
        </w:rPr>
        <w:t xml:space="preserve"> </w:t>
      </w:r>
    </w:p>
    <w:p w14:paraId="66E90AF8" w14:textId="51EBE0EE" w:rsidR="003208A2" w:rsidRDefault="003208A2" w:rsidP="003208A2">
      <w:pPr>
        <w:spacing w:after="120" w:line="240" w:lineRule="auto"/>
        <w:ind w:left="426" w:right="71" w:firstLine="567"/>
        <w:jc w:val="both"/>
        <w:rPr>
          <w:rFonts w:ascii="Cambria" w:eastAsia="Times New Roman" w:hAnsi="Cambria" w:cs="Times New Roman"/>
          <w:sz w:val="24"/>
          <w:szCs w:val="24"/>
          <w:lang w:val="en-US" w:eastAsia="en-US"/>
        </w:rPr>
      </w:pPr>
      <w:r w:rsidRPr="003208A2">
        <w:rPr>
          <w:rFonts w:ascii="Cambria" w:eastAsia="Times New Roman" w:hAnsi="Cambria" w:cs="Times New Roman"/>
          <w:sz w:val="24"/>
          <w:szCs w:val="24"/>
          <w:lang w:val="en-US" w:eastAsia="en-US"/>
        </w:rPr>
        <w:t>Among various forms of digital learning media, interactive videos and infographics have received considerable attention in educational research</w:t>
      </w:r>
      <w:r w:rsidRPr="003208A2">
        <w:rPr>
          <w:rFonts w:ascii="Cambria" w:eastAsia="Times New Roman" w:hAnsi="Cambria" w:cs="Times New Roman"/>
          <w:sz w:val="24"/>
          <w:szCs w:val="24"/>
          <w:lang w:val="id-ID" w:eastAsia="en-US"/>
        </w:rPr>
        <w:t xml:space="preserve">. </w:t>
      </w:r>
      <w:r w:rsidRPr="003208A2">
        <w:rPr>
          <w:rFonts w:ascii="Cambria" w:eastAsia="Times New Roman" w:hAnsi="Cambria" w:cs="Times New Roman"/>
          <w:sz w:val="24"/>
          <w:szCs w:val="24"/>
          <w:lang w:val="id-ID" w:eastAsia="en-US"/>
        </w:rPr>
        <w:fldChar w:fldCharType="begin" w:fldLock="1"/>
      </w:r>
      <w:r w:rsidRPr="003208A2">
        <w:rPr>
          <w:rFonts w:ascii="Cambria" w:eastAsia="Times New Roman" w:hAnsi="Cambria" w:cs="Times New Roman"/>
          <w:sz w:val="24"/>
          <w:szCs w:val="24"/>
          <w:lang w:val="id-ID" w:eastAsia="en-US"/>
        </w:rPr>
        <w:instrText>ADDIN CSL_CITATION {"citationItems":[{"id":"ITEM-1","itemData":{"DOI":"10.52060/JIPTI.V5I2.2375","ISSN":"2720-9725","abstract":"Conventional learning methods that are still applied by teachers experience several obstacles, including many students who cannot understand the material being taught. Students tend to be passive and do not respond to the material presented, this affects the learning outcomes of students who do not meet the minimum completeness criteria. The purpose of this study was to determine the development of interactive video learning media in improving student learning outcomes. The method used in this study is the research and development method or Research and Development (R &amp;amp; D). The model used in this study is the development of the 4-D (Four D) model. The results of this study indicate that the assessment of the feasibility of interactive video learning media by material experts is very valid with a percentage of 93%, and the results of the feasibility of interactive video language based on learning aspects have been valid with a percentage of 90%. The results of the feasibility of interactive video media based on material editing aspects have been valid with a percentage of 83%. The response of students to the interactive learning video individual test was 80.35% (practical) while in the field test it reached 93.68% (very practical) while student learning outcomes based on validation reached 85.77%. The effectiveness of interactive learning videos is marked by student learning completion with an average of 90%. From this, it can be concluded that interactive learning videos can improve student learning outcomes.","author":[{"dropping-particle":"","family":"Gulo","given":"D D S","non-dropping-particle":"","parse-names":false,"suffix":""},{"dropping-particle":"","family":"Laoli","given":"B","non-dropping-particle":"","parse-names":false,"suffix":""},{"dropping-particle":"","family":"Laoli","given":"E S","non-dropping-particle":"","parse-names":false,"suffix":""},{"dropping-particle":"","family":"Lase","given":"A","non-dropping-particle":"","parse-names":false,"suffix":""},{"dropping-particle":"","family":"Siswa","given":"; Pengembangan Media Pembelajaran Video Interaktif Untuk Meningkatkan Hasil Belajar","non-dropping-particle":"","parse-names":false,"suffix":""}],"container-title":"Jurnal Inovasi Pendidikan dan Teknologi Informasi (JIPTI)","id":"ITEM-1","issue":"2","issued":{"date-parts":[["2024","11","11"]]},"page":"314-327","publisher":"Universitas Muhammadiyah Muara Bungo","title":"PENGEMBANGAN MEDIA PEMBELAJARAN VIDEO INTERAKTIF UNTUK MENINGKATKAN HASIL BELAJAR SISWA","type":"article-journal","volume":"5"},"uris":["http://www.mendeley.com/documents/?uuid=0d852100-4caa-3c58-ba5b-f727749521be"]}],"mendeley":{"formattedCitation":"(Gulo et al., 2024)","plainTextFormattedCitation":"(Gulo et al., 2024)","previouslyFormattedCitation":"(Gulo et al., 2024)"},"properties":{"noteIndex":0},"schema":"https://github.com/citation-style-language/schema/raw/master/csl-citation.json"}</w:instrText>
      </w:r>
      <w:r w:rsidRPr="003208A2">
        <w:rPr>
          <w:rFonts w:ascii="Cambria" w:eastAsia="Times New Roman" w:hAnsi="Cambria" w:cs="Times New Roman"/>
          <w:sz w:val="24"/>
          <w:szCs w:val="24"/>
          <w:lang w:val="id-ID" w:eastAsia="en-US"/>
        </w:rPr>
        <w:fldChar w:fldCharType="separate"/>
      </w:r>
      <w:r w:rsidRPr="003208A2">
        <w:rPr>
          <w:rFonts w:ascii="Cambria" w:eastAsia="Times New Roman" w:hAnsi="Cambria" w:cs="Times New Roman"/>
          <w:noProof/>
          <w:sz w:val="24"/>
          <w:szCs w:val="24"/>
          <w:lang w:val="id-ID" w:eastAsia="en-US"/>
        </w:rPr>
        <w:t>Gulo et al. (2024)</w:t>
      </w:r>
      <w:r w:rsidRPr="003208A2">
        <w:rPr>
          <w:rFonts w:ascii="Cambria" w:eastAsia="Times New Roman" w:hAnsi="Cambria" w:cs="Times New Roman"/>
          <w:sz w:val="24"/>
          <w:szCs w:val="24"/>
          <w:lang w:val="id-ID" w:eastAsia="en-US"/>
        </w:rPr>
        <w:fldChar w:fldCharType="end"/>
      </w:r>
      <w:r w:rsidRPr="003208A2">
        <w:rPr>
          <w:rFonts w:ascii="Cambria" w:eastAsia="Times New Roman" w:hAnsi="Cambria" w:cs="Times New Roman"/>
          <w:sz w:val="24"/>
          <w:szCs w:val="24"/>
          <w:lang w:val="id-ID" w:eastAsia="en-US"/>
        </w:rPr>
        <w:t xml:space="preserve"> demonstrated that interactive video media significantly improve students’ learning outcomes because audio-visual content is easier to comprehend and retain than conventional text-based materials</w:t>
      </w:r>
      <w:r w:rsidRPr="003208A2">
        <w:rPr>
          <w:rFonts w:ascii="Cambria" w:eastAsia="Times New Roman" w:hAnsi="Cambria" w:cs="Times New Roman"/>
          <w:sz w:val="24"/>
          <w:szCs w:val="24"/>
          <w:lang w:val="en-US" w:eastAsia="en-US"/>
        </w:rPr>
        <w:t xml:space="preserve">. Similarly, </w:t>
      </w:r>
      <w:r w:rsidRPr="003208A2">
        <w:rPr>
          <w:rFonts w:ascii="Cambria" w:eastAsia="Times New Roman" w:hAnsi="Cambria" w:cs="Times New Roman"/>
          <w:sz w:val="24"/>
          <w:szCs w:val="24"/>
          <w:lang w:val="en-US" w:eastAsia="en-US"/>
        </w:rPr>
        <w:fldChar w:fldCharType="begin" w:fldLock="1"/>
      </w:r>
      <w:r w:rsidRPr="003208A2">
        <w:rPr>
          <w:rFonts w:ascii="Cambria" w:eastAsia="Times New Roman" w:hAnsi="Cambria" w:cs="Times New Roman"/>
          <w:sz w:val="24"/>
          <w:szCs w:val="24"/>
          <w:lang w:val="en-US" w:eastAsia="en-US"/>
        </w:rPr>
        <w:instrText>ADDIN CSL_CITATION {"citationItems":[{"id":"ITEM-1","itemData":{"DOI":"10.31004/BASICEDU.V8I4.8506","ISSN":"2580-1147","abstract":"Pada abad 21 diperlukan sumber daya manusia yang berkualitas agar dapat menguasai penggunaan teknologi, salah satunya di bidang pendidikan dengan menggabungkan teknologi sebagai media pembelajaran. Penelitian ini bertujuan untuk mendeskripsikan motivasi siswa setelah penggunaan video animasi Powtoon pada materi bumi dan tata surya. Metode yang digunakan adalah pre eksperimental. Subjek penelitian yaitu siswa kelas VII A Mts Negeri 4 Sidoarjo berjumlah 32 siswa dengan teknik pengambilan yang digunakan purposive sampling. Instrumen penelitian berupa lembar angket motivasi belajar model Attention, Relevance, Confidence, Satisfaction (ARCS) dengan jumlah pernyataan sebanyak 23 nomor. Teknik pengumpulan data dengan cara memberi angket kepada siswa sebelum dan sesudah dilaksanakan pembelajaran menggunakan video animasi Powtoon. Angket yang sudah diisi kemudian dilihat hasilnya berdasarkan skala likert. Teknik analisis data dengan menganalisis angket dengan deskriptif kuantitatif dengan menggunakan persentase. Hasil penelitian ini adalah terdapat peningkatan motivasi belajar dengan rata-rata motivasi belajar sebelum pembelajaran sebesar 57,75% dengan kategori kurang dan sesudah pembelajaran sebesar 87,11% dengan kategori sangat baik. Berdasarkan hasil tersebut, terdapat peningkatan motivasi belajar setelah menggunakan video animasi Powtoon sehingga perlu adanya penggunaan video animasi Powtoon pada materi IPA lainnya yang cocok dengan karakteristik siswa.","author":[{"dropping-particle":"","family":"Utami","given":"Hikmah Cahya","non-dropping-particle":"","parse-names":false,"suffix":""},{"dropping-particle":"","family":"Purnomo","given":"Aris Rudi","non-dropping-particle":"","parse-names":false,"suffix":""}],"container-title":"Jurnal Basicedu","id":"ITEM-1","issue":"4","issued":{"date-parts":[["2024","7","26"]]},"page":"3094-3103","publisher":"Universitas Pahlawan Tuanku Tambusai","title":"Penggunaan Video Animasi Powtoon untuk Meningkatkan Motivasi Siswa pada Materi Bumi dan Tata Surya","type":"article-journal","volume":"8"},"uris":["http://www.mendeley.com/documents/?uuid=51361e51-1ede-3684-b475-b577e8ee9647"]}],"mendeley":{"formattedCitation":"(Utami &amp; Purnomo, 2024)","plainTextFormattedCitation":"(Utami &amp; Purnomo, 2024)","previouslyFormattedCitation":"(Utami &amp; Purnomo, 2024)"},"properties":{"noteIndex":0},"schema":"https://github.com/citation-style-language/schema/raw/master/csl-citation.json"}</w:instrText>
      </w:r>
      <w:r w:rsidRPr="003208A2">
        <w:rPr>
          <w:rFonts w:ascii="Cambria" w:eastAsia="Times New Roman" w:hAnsi="Cambria" w:cs="Times New Roman"/>
          <w:sz w:val="24"/>
          <w:szCs w:val="24"/>
          <w:lang w:val="en-US" w:eastAsia="en-US"/>
        </w:rPr>
        <w:fldChar w:fldCharType="separate"/>
      </w:r>
      <w:r w:rsidRPr="003208A2">
        <w:rPr>
          <w:rFonts w:ascii="Cambria" w:eastAsia="Times New Roman" w:hAnsi="Cambria" w:cs="Times New Roman"/>
          <w:noProof/>
          <w:sz w:val="24"/>
          <w:szCs w:val="24"/>
          <w:lang w:val="en-US" w:eastAsia="en-US"/>
        </w:rPr>
        <w:t xml:space="preserve">Utami </w:t>
      </w:r>
      <w:r w:rsidR="00513B86">
        <w:rPr>
          <w:rFonts w:ascii="Cambria" w:eastAsia="Times New Roman" w:hAnsi="Cambria" w:cs="Times New Roman"/>
          <w:noProof/>
          <w:sz w:val="24"/>
          <w:szCs w:val="24"/>
          <w:lang w:val="en-US" w:eastAsia="en-US"/>
        </w:rPr>
        <w:t>and</w:t>
      </w:r>
      <w:r w:rsidRPr="003208A2">
        <w:rPr>
          <w:rFonts w:ascii="Cambria" w:eastAsia="Times New Roman" w:hAnsi="Cambria" w:cs="Times New Roman"/>
          <w:noProof/>
          <w:sz w:val="24"/>
          <w:szCs w:val="24"/>
          <w:lang w:val="en-US" w:eastAsia="en-US"/>
        </w:rPr>
        <w:t xml:space="preserve"> Purnomo (2024)</w:t>
      </w:r>
      <w:r w:rsidRPr="003208A2">
        <w:rPr>
          <w:rFonts w:ascii="Cambria" w:eastAsia="Times New Roman" w:hAnsi="Cambria" w:cs="Times New Roman"/>
          <w:sz w:val="24"/>
          <w:szCs w:val="24"/>
          <w:lang w:val="en-US" w:eastAsia="en-US"/>
        </w:rPr>
        <w:fldChar w:fldCharType="end"/>
      </w:r>
      <w:r w:rsidRPr="003208A2">
        <w:rPr>
          <w:rFonts w:ascii="Cambria" w:eastAsia="Times New Roman" w:hAnsi="Cambria" w:cs="Times New Roman"/>
          <w:sz w:val="24"/>
          <w:szCs w:val="24"/>
          <w:lang w:val="id-ID" w:eastAsia="en-US"/>
        </w:rPr>
        <w:t xml:space="preserve"> </w:t>
      </w:r>
      <w:r w:rsidR="00513B86" w:rsidRPr="00513B86">
        <w:rPr>
          <w:rFonts w:ascii="Cambria" w:eastAsia="Times New Roman" w:hAnsi="Cambria" w:cs="Times New Roman"/>
          <w:sz w:val="24"/>
          <w:szCs w:val="24"/>
          <w:lang w:val="en-US" w:eastAsia="en-US"/>
        </w:rPr>
        <w:t>found that the use of animated videos significantly enhanced students’ learning motivation</w:t>
      </w:r>
      <w:r w:rsidRPr="003208A2">
        <w:rPr>
          <w:rFonts w:ascii="Cambria" w:eastAsia="Times New Roman" w:hAnsi="Cambria" w:cs="Times New Roman"/>
          <w:sz w:val="24"/>
          <w:szCs w:val="24"/>
          <w:lang w:val="en-US" w:eastAsia="en-US"/>
        </w:rPr>
        <w:t>.</w:t>
      </w:r>
      <w:r w:rsidRPr="003208A2">
        <w:rPr>
          <w:rFonts w:ascii="Cambria" w:eastAsia="Cambria" w:hAnsi="Cambria" w:cs="Times New Roman"/>
          <w:b/>
          <w:bCs/>
          <w:sz w:val="24"/>
          <w:szCs w:val="24"/>
          <w:lang w:eastAsia="en-US"/>
        </w:rPr>
        <w:t xml:space="preserve"> </w:t>
      </w:r>
      <w:r w:rsidRPr="003208A2">
        <w:rPr>
          <w:rFonts w:ascii="Cambria" w:eastAsia="Times New Roman" w:hAnsi="Cambria" w:cs="Times New Roman"/>
          <w:sz w:val="24"/>
          <w:szCs w:val="24"/>
          <w:lang w:val="en-US" w:eastAsia="en-US"/>
        </w:rPr>
        <w:fldChar w:fldCharType="begin" w:fldLock="1"/>
      </w:r>
      <w:r w:rsidRPr="003208A2">
        <w:rPr>
          <w:rFonts w:ascii="Cambria" w:eastAsia="Times New Roman" w:hAnsi="Cambria" w:cs="Times New Roman"/>
          <w:sz w:val="24"/>
          <w:szCs w:val="24"/>
          <w:lang w:val="en-US" w:eastAsia="en-US"/>
        </w:rPr>
        <w:instrText>ADDIN CSL_CITATION {"citationItems":[{"id":"ITEM-1","itemData":{"DOI":"10.17977/UM022V7I12022P11","ISSN":"2503-5347","abstract":"Penelitian ini bertujuan untuk mengetahui efektivitas media pembelajaran berbasis infografis terhadap hasil belajar siswa pada mata pelajaran Ilmu Pengetahuan Sosial. Penelitian ini merupakan jenis penelitian kualitatif dengan menggunakan metode survei. Teknik pengambilan sampel yaitu purposive sampling, yang berdasarkan kriteria subjek penelitian sebanyak 20 siswa pada satu kelas di mata pelajaran IPS. Dokumentasi dan tes penilaian berupa pre-test dan post-test merupakan teknik pengambilan data pada penelitian ini. Data yang diperoleh dianalisis melalui uji Paired Sample t-tes. Berdasarkan pada hasil uji pre-test dan post-test disimpulkan bahwa pemanfaatan media pembelajaran berbasis infografis berpengaruh terhadap hasil belajar siswa.","author":[{"dropping-particle":"","family":"Masluhah","given":"","non-dropping-particle":"","parse-names":false,"suffix":""},{"dropping-particle":"","family":"Rizkiatul Afifah","given":"Kiki","non-dropping-particle":"","parse-names":false,"suffix":""},{"dropping-particle":"","family":"Hafid","given":"Ahmad","non-dropping-particle":"","parse-names":false,"suffix":""}],"container-title":"Jurnal Teori dan Praksis Pembelajaran IPS","id":"ITEM-1","issue":"1","issued":{"date-parts":[["2022","5","1"]]},"page":"11-20","publisher":"State University of Malang (UM)","title":"Efektivitas Media Pembelajaran Berbasis Infografis terhadap Hasil Belajar Siswa Pada Mata Pelajaran IPS","type":"article-journal","volume":"7"},"uris":["http://www.mendeley.com/documents/?uuid=6500c5fe-bcec-3090-b4d1-cb5d469d4314"]}],"mendeley":{"formattedCitation":"(Masluhah et al., 2022)","plainTextFormattedCitation":"(Masluhah et al., 2022)","previouslyFormattedCitation":"(Masluhah et al., 2022)"},"properties":{"noteIndex":0},"schema":"https://github.com/citation-style-language/schema/raw/master/csl-citation.json"}</w:instrText>
      </w:r>
      <w:r w:rsidRPr="003208A2">
        <w:rPr>
          <w:rFonts w:ascii="Cambria" w:eastAsia="Times New Roman" w:hAnsi="Cambria" w:cs="Times New Roman"/>
          <w:sz w:val="24"/>
          <w:szCs w:val="24"/>
          <w:lang w:val="en-US" w:eastAsia="en-US"/>
        </w:rPr>
        <w:fldChar w:fldCharType="separate"/>
      </w:r>
      <w:r w:rsidRPr="003208A2">
        <w:rPr>
          <w:rFonts w:ascii="Cambria" w:eastAsia="Times New Roman" w:hAnsi="Cambria" w:cs="Times New Roman"/>
          <w:noProof/>
          <w:sz w:val="24"/>
          <w:szCs w:val="24"/>
          <w:lang w:val="en-US" w:eastAsia="en-US"/>
        </w:rPr>
        <w:t>Masluhah et al. (2022)</w:t>
      </w:r>
      <w:r w:rsidRPr="003208A2">
        <w:rPr>
          <w:rFonts w:ascii="Cambria" w:eastAsia="Times New Roman" w:hAnsi="Cambria" w:cs="Times New Roman"/>
          <w:sz w:val="24"/>
          <w:szCs w:val="24"/>
          <w:lang w:val="en-US" w:eastAsia="en-US"/>
        </w:rPr>
        <w:fldChar w:fldCharType="end"/>
      </w:r>
      <w:r w:rsidRPr="003208A2">
        <w:rPr>
          <w:rFonts w:ascii="Cambria" w:eastAsia="Times New Roman" w:hAnsi="Cambria" w:cs="Times New Roman"/>
          <w:sz w:val="24"/>
          <w:szCs w:val="24"/>
          <w:lang w:val="id-ID" w:eastAsia="en-US"/>
        </w:rPr>
        <w:t xml:space="preserve"> </w:t>
      </w:r>
      <w:r w:rsidRPr="003208A2">
        <w:rPr>
          <w:rFonts w:ascii="Cambria" w:eastAsia="Times New Roman" w:hAnsi="Cambria" w:cs="Times New Roman"/>
          <w:sz w:val="24"/>
          <w:szCs w:val="24"/>
          <w:lang w:val="en-US" w:eastAsia="en-US"/>
        </w:rPr>
        <w:t xml:space="preserve">and </w:t>
      </w:r>
      <w:r w:rsidRPr="003208A2">
        <w:rPr>
          <w:rFonts w:ascii="Cambria" w:eastAsia="Times New Roman" w:hAnsi="Cambria" w:cs="Times New Roman"/>
          <w:sz w:val="24"/>
          <w:szCs w:val="24"/>
          <w:lang w:val="en-US" w:eastAsia="en-US"/>
        </w:rPr>
        <w:fldChar w:fldCharType="begin" w:fldLock="1"/>
      </w:r>
      <w:r w:rsidRPr="003208A2">
        <w:rPr>
          <w:rFonts w:ascii="Cambria" w:eastAsia="Times New Roman" w:hAnsi="Cambria" w:cs="Times New Roman"/>
          <w:sz w:val="24"/>
          <w:szCs w:val="24"/>
          <w:lang w:val="en-US" w:eastAsia="en-US"/>
        </w:rPr>
        <w:instrText>ADDIN CSL_CITATION {"citationItems":[{"id":"ITEM-1","itemData":{"ISSN":"2355-0104","abstract":"Interest in learning is something that is very urgent, therefore, interest in learning must continue to be formed and created and grown in all students so that later they will be successful in carrying out educational programs. The task of increasing interest in learning is a joint task, but those who have a role and closeness to students are subject teachers who often interact with them, so the creativity and innovation of subject teachers in using learning media is very important, especially in increasing interest in learning. This study aims to a) determine the effectiveness of infographic-based learning media in shaping student learning interest, b) determine the effect of infographic learning media on increasing student interest in learning. This type of research is qualitative research using a descriptive approach. There are 3 stages used in this study including data reduction, data presentation, verification and drawing conclusions. In the expert test, 2 experts were carried out, namely media experts and material experts to determine the feasibility of the product. The results of the study show that a) infographic learning media is very effective in shaping student interest in learning b) the resulting infographic learning media has the characteristics of providing feedback with automatic reinforcement, adjusting to speed, opportunity, and needs of students has visual appeal, provide different learning experiences. The implication of this research is that learning media in the form of infographics can increase student interest in learning because learning outcomes will improve by using the right learning media.","author":[{"dropping-particle":"","family":"Faizah","given":"Leily Indah","non-dropping-particle":"","parse-names":false,"suffix":""},{"dropping-particle":"","family":"Ma'ruf","given":"Amar","non-dropping-particle":"","parse-names":false,"suffix":""},{"dropping-particle":"","family":"Rosyidah","given":"Evi Fatimatur","non-dropping-particle":"","parse-names":false,"suffix":""}],"container-title":"Al-Ulum Jurnal Pemikiran dan Penelitian ke Islaman","id":"ITEM-1","issue":"1","issued":{"date-parts":[["2023"]]},"page":"Purwanza, Sena Wahyu, Aditya Wardhana, Ainul Mufid","title":"Media Pembelajaran Infografis dalam Membentuk Minat Belajar Siswa Pada Mata Pelajaran Aqidah Akhlak di Madrasah Aliyah Raudhatul Banath di Sidoarjo","type":"article-journal","volume":"10"},"uris":["http://www.mendeley.com/documents/?uuid=2c0754c3-fb0b-4221-bae5-9f7eb6e8edca"]}],"mendeley":{"formattedCitation":"(Faizah et al., 2023)","plainTextFormattedCitation":"(Faizah et al., 2023)","previouslyFormattedCitation":"(Faizah et al., 2023)"},"properties":{"noteIndex":0},"schema":"https://github.com/citation-style-language/schema/raw/master/csl-citation.json"}</w:instrText>
      </w:r>
      <w:r w:rsidRPr="003208A2">
        <w:rPr>
          <w:rFonts w:ascii="Cambria" w:eastAsia="Times New Roman" w:hAnsi="Cambria" w:cs="Times New Roman"/>
          <w:sz w:val="24"/>
          <w:szCs w:val="24"/>
          <w:lang w:val="en-US" w:eastAsia="en-US"/>
        </w:rPr>
        <w:fldChar w:fldCharType="separate"/>
      </w:r>
      <w:r w:rsidRPr="003208A2">
        <w:rPr>
          <w:rFonts w:ascii="Cambria" w:eastAsia="Times New Roman" w:hAnsi="Cambria" w:cs="Times New Roman"/>
          <w:noProof/>
          <w:sz w:val="24"/>
          <w:szCs w:val="24"/>
          <w:lang w:val="en-US" w:eastAsia="en-US"/>
        </w:rPr>
        <w:t>Faizah et al. (2023)</w:t>
      </w:r>
      <w:r w:rsidRPr="003208A2">
        <w:rPr>
          <w:rFonts w:ascii="Cambria" w:eastAsia="Times New Roman" w:hAnsi="Cambria" w:cs="Times New Roman"/>
          <w:sz w:val="24"/>
          <w:szCs w:val="24"/>
          <w:lang w:val="en-US" w:eastAsia="en-US"/>
        </w:rPr>
        <w:fldChar w:fldCharType="end"/>
      </w:r>
      <w:r w:rsidRPr="003208A2">
        <w:rPr>
          <w:rFonts w:ascii="Cambria" w:eastAsia="Times New Roman" w:hAnsi="Cambria" w:cs="Times New Roman"/>
          <w:sz w:val="24"/>
          <w:szCs w:val="24"/>
          <w:lang w:val="id-ID" w:eastAsia="en-US"/>
        </w:rPr>
        <w:t xml:space="preserve"> </w:t>
      </w:r>
      <w:r w:rsidRPr="003208A2">
        <w:rPr>
          <w:rFonts w:ascii="Cambria" w:eastAsia="Times New Roman" w:hAnsi="Cambria" w:cs="Times New Roman"/>
          <w:sz w:val="24"/>
          <w:szCs w:val="24"/>
          <w:lang w:val="en-US" w:eastAsia="en-US"/>
        </w:rPr>
        <w:t>further reported that infographic-based learning media effectively improve students’ learning outcomes and learning interest, including in religious education. Infographics simplify complex information into concise, visually appealing, and informative presentations, making them particularly suitable for summarizing PAI materials, which are often extensive and conceptually dense.</w:t>
      </w:r>
    </w:p>
    <w:p w14:paraId="6FFC6741" w14:textId="4C555529" w:rsidR="003208A2" w:rsidRPr="00186919" w:rsidRDefault="003208A2" w:rsidP="003208A2">
      <w:pPr>
        <w:numPr>
          <w:ilvl w:val="3"/>
          <w:numId w:val="1"/>
        </w:numPr>
        <w:pBdr>
          <w:top w:val="nil"/>
          <w:left w:val="nil"/>
          <w:bottom w:val="nil"/>
          <w:right w:val="nil"/>
          <w:between w:val="nil"/>
        </w:pBdr>
        <w:spacing w:after="0" w:line="240" w:lineRule="auto"/>
        <w:ind w:left="426"/>
        <w:rPr>
          <w:rFonts w:ascii="Cambria" w:eastAsia="Cambria" w:hAnsi="Cambria" w:cs="Cambria"/>
          <w:b/>
          <w:bCs/>
          <w:color w:val="000000"/>
          <w:sz w:val="24"/>
          <w:szCs w:val="24"/>
        </w:rPr>
      </w:pPr>
      <w:r w:rsidRPr="003208A2">
        <w:rPr>
          <w:rFonts w:ascii="Cambria" w:eastAsia="Cambria" w:hAnsi="Cambria" w:cs="Cambria"/>
          <w:b/>
          <w:bCs/>
          <w:color w:val="000000"/>
          <w:sz w:val="24"/>
          <w:szCs w:val="24"/>
        </w:rPr>
        <w:t>The Role of Parents and Accessibility in Digital Learning</w:t>
      </w:r>
      <w:r w:rsidRPr="00186919">
        <w:rPr>
          <w:rFonts w:ascii="Cambria" w:eastAsia="Cambria" w:hAnsi="Cambria" w:cs="Cambria"/>
          <w:b/>
          <w:bCs/>
          <w:color w:val="000000"/>
          <w:sz w:val="24"/>
          <w:szCs w:val="24"/>
        </w:rPr>
        <w:t xml:space="preserve"> </w:t>
      </w:r>
    </w:p>
    <w:p w14:paraId="41121CD4" w14:textId="5181980E" w:rsidR="003208A2" w:rsidRPr="003208A2" w:rsidRDefault="003208A2" w:rsidP="003208A2">
      <w:pPr>
        <w:spacing w:after="0" w:line="240" w:lineRule="auto"/>
        <w:ind w:left="426" w:right="71" w:firstLine="567"/>
        <w:jc w:val="both"/>
        <w:rPr>
          <w:rFonts w:ascii="Cambria" w:eastAsia="Cambria" w:hAnsi="Cambria" w:cs="Cambria"/>
          <w:color w:val="EE0000"/>
          <w:sz w:val="24"/>
          <w:szCs w:val="24"/>
        </w:rPr>
      </w:pPr>
      <w:r w:rsidRPr="003208A2">
        <w:rPr>
          <w:rFonts w:ascii="Cambria" w:eastAsia="Times New Roman" w:hAnsi="Cambria" w:cs="Times New Roman"/>
          <w:sz w:val="24"/>
          <w:szCs w:val="24"/>
          <w:lang w:val="en-US" w:eastAsia="en-US"/>
        </w:rPr>
        <w:t xml:space="preserve">Parental involvement in children’s learning is a crucial factor influencing educational success. However, not all parents have sufficient time or adequate knowledge to directly assist their children in learning Islamic Religious Education. </w:t>
      </w:r>
      <w:r w:rsidRPr="003208A2">
        <w:rPr>
          <w:rFonts w:ascii="Cambria" w:eastAsia="Times New Roman" w:hAnsi="Cambria" w:cs="Times New Roman"/>
          <w:sz w:val="24"/>
          <w:szCs w:val="24"/>
          <w:lang w:val="en-US" w:eastAsia="en-US"/>
        </w:rPr>
        <w:fldChar w:fldCharType="begin" w:fldLock="1"/>
      </w:r>
      <w:r w:rsidRPr="003208A2">
        <w:rPr>
          <w:rFonts w:ascii="Cambria" w:eastAsia="Times New Roman" w:hAnsi="Cambria" w:cs="Times New Roman"/>
          <w:sz w:val="24"/>
          <w:szCs w:val="24"/>
          <w:lang w:val="en-US" w:eastAsia="en-US"/>
        </w:rPr>
        <w:instrText>ADDIN CSL_CITATION {"citationItems":[{"id":"ITEM-1","itemData":{"DOI":"10.29303/JIPP.V10I1.2962","ISSN":"2620-8326","abstract":"Penelitian ini bertujuan untuk mengidentifikasi peran literasi digital dalam pembentukan etika sosial di dunia maya pada siswa sekolah dasar. Kehadiran teknologi digital yang pesat mempengaruhi kehidupan masyarakat, termasuk anak-anak yang semakin aktif dalam penggunaan media sosial. Namun, rendahnya kesadaran akan etika sosial di dunia maya, seperti penyebaran hoax dan cyber bullying, menimbulkan dampak negatif. Literasi digital, yang mencakup keterampilan teknis serta pemahaman etis dalam berinteraksi di dunia maya, menjadi solusi penting untuk membentuk perilaku digital yang bertanggung jawab. Melalui literasi digital, siswa dapat memahami nilai-nilai etika sosial, seperti menghargai privasi, bertanggung jawab dalam berbagi informasi, dan menghindari perilaku negatif. Penelitian ini menggunakan metode kualitatif dengan pendekatan pustaka untuk menganalisis hubungan antara literasi digital dan etika sosial di dunia maya. Hasil penelitian menunjukkan bahwa literasi digital yang baik berpengaruh positif terhadap pengembangan etika sosial di kalangan siswa, namun tantangan seperti keterbatasan akses teknologi dan pemahaman orang tua masih menjadi hambatan. Oleh karena itu, diperlukan kerjasama antara guru, orang tua, dan pemerintah untuk meningkatkan literasi digital guna menciptakan lingkungan digital yang aman dan mendukung perkembangan sosial siswa.","author":[{"dropping-particle":"","family":"Febriani","given":"Dinda Rizki","non-dropping-particle":"","parse-names":false,"suffix":""},{"dropping-particle":"","family":"Indriyani","given":"Intan","non-dropping-particle":"","parse-names":false,"suffix":""},{"dropping-particle":"","family":"Shafa Fauziyah","given":"Annisa","non-dropping-particle":"","parse-names":false,"suffix":""},{"dropping-particle":"","family":"Salsabila Divania","given":"Ailsa","non-dropping-particle":"","parse-names":false,"suffix":""},{"dropping-particle":"","family":"Maulidah","given":"Neni","non-dropping-particle":"","parse-names":false,"suffix":""}],"container-title":"Jurnal Ilmiah Profesi Pendidikan","id":"ITEM-1","issue":"1","issued":{"date-parts":[["2025","2","28"]]},"page":"858-865","publisher":"Universitas Mataram","title":"Peran Literasi Digital dalam Pembentukan Etika Sosial di Dunia Maya Pada Siswa SD","type":"article-journal","volume":"10"},"uris":["http://www.mendeley.com/documents/?uuid=8cc3f908-b061-38df-bd7c-1dfa143ad215"]}],"mendeley":{"formattedCitation":"(Febriani et al., 2025)","plainTextFormattedCitation":"(Febriani et al., 2025)","previouslyFormattedCitation":"(Febriani et al., 2025)"},"properties":{"noteIndex":0},"schema":"https://github.com/citation-style-language/schema/raw/master/csl-citation.json"}</w:instrText>
      </w:r>
      <w:r w:rsidRPr="003208A2">
        <w:rPr>
          <w:rFonts w:ascii="Cambria" w:eastAsia="Times New Roman" w:hAnsi="Cambria" w:cs="Times New Roman"/>
          <w:sz w:val="24"/>
          <w:szCs w:val="24"/>
          <w:lang w:val="en-US" w:eastAsia="en-US"/>
        </w:rPr>
        <w:fldChar w:fldCharType="separate"/>
      </w:r>
      <w:r w:rsidRPr="003208A2">
        <w:rPr>
          <w:rFonts w:ascii="Cambria" w:eastAsia="Times New Roman" w:hAnsi="Cambria" w:cs="Times New Roman"/>
          <w:noProof/>
          <w:sz w:val="24"/>
          <w:szCs w:val="24"/>
          <w:lang w:val="en-US" w:eastAsia="en-US"/>
        </w:rPr>
        <w:t>Febriani et al. (2025)</w:t>
      </w:r>
      <w:r w:rsidRPr="003208A2">
        <w:rPr>
          <w:rFonts w:ascii="Cambria" w:eastAsia="Times New Roman" w:hAnsi="Cambria" w:cs="Times New Roman"/>
          <w:sz w:val="24"/>
          <w:szCs w:val="24"/>
          <w:lang w:val="en-US" w:eastAsia="en-US"/>
        </w:rPr>
        <w:fldChar w:fldCharType="end"/>
      </w:r>
      <w:r w:rsidRPr="003208A2">
        <w:rPr>
          <w:rFonts w:ascii="Cambria" w:eastAsia="Times New Roman" w:hAnsi="Cambria" w:cs="Times New Roman"/>
          <w:sz w:val="24"/>
          <w:szCs w:val="24"/>
          <w:lang w:val="id-ID" w:eastAsia="en-US"/>
        </w:rPr>
        <w:t xml:space="preserve"> </w:t>
      </w:r>
      <w:r w:rsidRPr="003208A2">
        <w:rPr>
          <w:rFonts w:ascii="Cambria" w:eastAsia="Times New Roman" w:hAnsi="Cambria" w:cs="Times New Roman"/>
          <w:sz w:val="24"/>
          <w:szCs w:val="24"/>
          <w:lang w:val="en-US" w:eastAsia="en-US"/>
        </w:rPr>
        <w:t xml:space="preserve">emphasized that parents’ digital literacy serves as an essential bridge that enables them to monitor their children’s learning progress effectively. Platforms such as </w:t>
      </w:r>
      <w:proofErr w:type="spellStart"/>
      <w:r w:rsidRPr="003208A2">
        <w:rPr>
          <w:rFonts w:ascii="Cambria" w:eastAsia="Times New Roman" w:hAnsi="Cambria" w:cs="Times New Roman"/>
          <w:sz w:val="24"/>
          <w:szCs w:val="24"/>
          <w:lang w:val="en-US" w:eastAsia="en-US"/>
        </w:rPr>
        <w:t>Ruangguru</w:t>
      </w:r>
      <w:proofErr w:type="spellEnd"/>
      <w:r w:rsidRPr="003208A2">
        <w:rPr>
          <w:rFonts w:ascii="Cambria" w:eastAsia="Times New Roman" w:hAnsi="Cambria" w:cs="Times New Roman"/>
          <w:sz w:val="24"/>
          <w:szCs w:val="24"/>
          <w:lang w:val="en-US" w:eastAsia="en-US"/>
        </w:rPr>
        <w:t>, which provide learning progress reports, address this need by offering parents regular updates on their children’s academic development without requiring their physical presence throughout the learning process.</w:t>
      </w:r>
    </w:p>
    <w:p w14:paraId="01B4B9D3" w14:textId="77777777" w:rsidR="0039525E" w:rsidRDefault="0039525E" w:rsidP="00367B8E">
      <w:pPr>
        <w:pBdr>
          <w:top w:val="nil"/>
          <w:left w:val="nil"/>
          <w:bottom w:val="nil"/>
          <w:right w:val="nil"/>
          <w:between w:val="nil"/>
        </w:pBdr>
        <w:spacing w:after="0" w:line="240" w:lineRule="auto"/>
        <w:ind w:left="426" w:right="71" w:firstLine="567"/>
        <w:jc w:val="both"/>
        <w:rPr>
          <w:rFonts w:ascii="Cambria" w:eastAsia="Cambria" w:hAnsi="Cambria" w:cs="Cambria"/>
          <w:color w:val="000000"/>
          <w:sz w:val="24"/>
          <w:szCs w:val="24"/>
        </w:rPr>
      </w:pPr>
    </w:p>
    <w:p w14:paraId="0D4982A3" w14:textId="77777777" w:rsidR="0039525E" w:rsidRDefault="00320985" w:rsidP="00367B8E">
      <w:pPr>
        <w:numPr>
          <w:ilvl w:val="0"/>
          <w:numId w:val="1"/>
        </w:numPr>
        <w:pBdr>
          <w:top w:val="nil"/>
          <w:left w:val="nil"/>
          <w:bottom w:val="nil"/>
          <w:right w:val="nil"/>
          <w:between w:val="nil"/>
        </w:pBdr>
        <w:spacing w:after="0" w:line="240" w:lineRule="auto"/>
        <w:ind w:left="426" w:right="71" w:hanging="426"/>
        <w:jc w:val="both"/>
        <w:rPr>
          <w:rFonts w:ascii="Cambria" w:eastAsia="Cambria" w:hAnsi="Cambria" w:cs="Cambria"/>
          <w:color w:val="000000"/>
          <w:sz w:val="24"/>
          <w:szCs w:val="24"/>
        </w:rPr>
      </w:pPr>
      <w:r>
        <w:rPr>
          <w:rFonts w:ascii="Cambria" w:eastAsia="Cambria" w:hAnsi="Cambria" w:cs="Cambria"/>
          <w:b/>
          <w:bCs/>
          <w:color w:val="000000"/>
          <w:sz w:val="24"/>
          <w:szCs w:val="24"/>
        </w:rPr>
        <w:t>Method</w:t>
      </w:r>
    </w:p>
    <w:p w14:paraId="5825566C" w14:textId="43D301AE" w:rsidR="0039525E" w:rsidRPr="00576E8D" w:rsidRDefault="003024DF" w:rsidP="00367B8E">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sz w:val="24"/>
          <w:szCs w:val="24"/>
        </w:rPr>
      </w:pPr>
      <w:r w:rsidRPr="003024DF">
        <w:rPr>
          <w:rFonts w:ascii="Cambria" w:eastAsia="Cambria" w:hAnsi="Cambria" w:cs="Cambria"/>
          <w:b/>
          <w:bCs/>
          <w:color w:val="000000"/>
          <w:sz w:val="24"/>
          <w:szCs w:val="24"/>
        </w:rPr>
        <w:t>Research Design</w:t>
      </w:r>
    </w:p>
    <w:p w14:paraId="2B714857" w14:textId="0D826D81" w:rsidR="0039525E" w:rsidRDefault="003024DF" w:rsidP="00367B8E">
      <w:pPr>
        <w:pBdr>
          <w:top w:val="nil"/>
          <w:left w:val="nil"/>
          <w:bottom w:val="nil"/>
          <w:right w:val="nil"/>
          <w:between w:val="nil"/>
        </w:pBdr>
        <w:spacing w:after="120" w:line="240" w:lineRule="auto"/>
        <w:ind w:left="426" w:right="71" w:firstLine="567"/>
        <w:jc w:val="both"/>
        <w:rPr>
          <w:rFonts w:ascii="Cambria" w:eastAsia="Cambria" w:hAnsi="Cambria" w:cs="Cambria"/>
          <w:sz w:val="24"/>
          <w:szCs w:val="24"/>
        </w:rPr>
      </w:pPr>
      <w:r w:rsidRPr="003024DF">
        <w:rPr>
          <w:rFonts w:ascii="Cambria" w:eastAsia="Times New Roman" w:hAnsi="Cambria" w:cs="Times New Roman"/>
          <w:sz w:val="24"/>
          <w:szCs w:val="24"/>
          <w:lang w:val="en-US" w:eastAsia="en-US"/>
        </w:rPr>
        <w:t xml:space="preserve">This study employed a qualitative approach using a field research design. A qualitative approach was selected because this study aimed to explore and gain an in-depth understanding of the use of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online tutoring in Islamic Religious Education (PAI) learning as it naturally occurs in the field, rather than measuring it quantitatively. </w:t>
      </w:r>
      <w:r w:rsidRPr="003024DF">
        <w:rPr>
          <w:rFonts w:ascii="Cambria" w:eastAsia="Times New Roman" w:hAnsi="Cambria" w:cs="Times New Roman"/>
          <w:sz w:val="24"/>
          <w:szCs w:val="24"/>
          <w:lang w:val="en-US" w:eastAsia="en-US"/>
        </w:rPr>
        <w:fldChar w:fldCharType="begin" w:fldLock="1"/>
      </w:r>
      <w:r w:rsidRPr="003024DF">
        <w:rPr>
          <w:rFonts w:ascii="Cambria" w:eastAsia="Times New Roman" w:hAnsi="Cambria" w:cs="Times New Roman"/>
          <w:sz w:val="24"/>
          <w:szCs w:val="24"/>
          <w:lang w:val="en-US" w:eastAsia="en-US"/>
        </w:rPr>
        <w:instrText>ADDIN CSL_CITATION {"citationItems":[{"id":"ITEM-1","itemData":{"ISBN":"9781412995313","author":[{"dropping-particle":"","family":"Creswell","given":"J. W.","non-dropping-particle":"","parse-names":false,"suffix":""},{"dropping-particle":"","family":"Poth","given":"C. N.","non-dropping-particle":"","parse-names":false,"suffix":""}],"edition":"(4th ed.)","id":"ITEM-1","issued":{"date-parts":[["2018"]]},"publisher":"SAGE Publications.","title":"Qualitative inquiry and research design: Choosing among five approaches","type":"book"},"uris":["http://www.mendeley.com/documents/?uuid=b0787a25-2ec7-4867-a878-3ea9b8fce53c"]}],"mendeley":{"formattedCitation":"(Creswell &amp; Poth, 2018)","plainTextFormattedCitation":"(Creswell &amp; Poth, 2018)","previouslyFormattedCitation":"(Creswell &amp; Poth, 2018)"},"properties":{"noteIndex":0},"schema":"https://github.com/citation-style-language/schema/raw/master/csl-citation.json"}</w:instrText>
      </w:r>
      <w:r w:rsidRPr="003024DF">
        <w:rPr>
          <w:rFonts w:ascii="Cambria" w:eastAsia="Times New Roman" w:hAnsi="Cambria" w:cs="Times New Roman"/>
          <w:sz w:val="24"/>
          <w:szCs w:val="24"/>
          <w:lang w:val="en-US" w:eastAsia="en-US"/>
        </w:rPr>
        <w:fldChar w:fldCharType="separate"/>
      </w:r>
      <w:r w:rsidRPr="003024DF">
        <w:rPr>
          <w:rFonts w:ascii="Cambria" w:eastAsia="Times New Roman" w:hAnsi="Cambria" w:cs="Times New Roman"/>
          <w:noProof/>
          <w:sz w:val="24"/>
          <w:szCs w:val="24"/>
          <w:lang w:val="en-US" w:eastAsia="en-US"/>
        </w:rPr>
        <w:t xml:space="preserve">Creswell </w:t>
      </w:r>
      <w:r w:rsidR="00F72FB5">
        <w:rPr>
          <w:rFonts w:ascii="Cambria" w:eastAsia="Times New Roman" w:hAnsi="Cambria" w:cs="Times New Roman"/>
          <w:noProof/>
          <w:sz w:val="24"/>
          <w:szCs w:val="24"/>
          <w:lang w:val="en-US" w:eastAsia="en-US"/>
        </w:rPr>
        <w:t>and</w:t>
      </w:r>
      <w:r w:rsidRPr="003024DF">
        <w:rPr>
          <w:rFonts w:ascii="Cambria" w:eastAsia="Times New Roman" w:hAnsi="Cambria" w:cs="Times New Roman"/>
          <w:noProof/>
          <w:sz w:val="24"/>
          <w:szCs w:val="24"/>
          <w:lang w:val="en-US" w:eastAsia="en-US"/>
        </w:rPr>
        <w:t xml:space="preserve"> Poth (2018)</w:t>
      </w:r>
      <w:r w:rsidRPr="003024DF">
        <w:rPr>
          <w:rFonts w:ascii="Cambria" w:eastAsia="Times New Roman" w:hAnsi="Cambria" w:cs="Times New Roman"/>
          <w:sz w:val="24"/>
          <w:szCs w:val="24"/>
          <w:lang w:val="en-US" w:eastAsia="en-US"/>
        </w:rPr>
        <w:fldChar w:fldCharType="end"/>
      </w:r>
      <w:r w:rsidRPr="003024DF">
        <w:rPr>
          <w:rFonts w:ascii="Cambria" w:eastAsia="Times New Roman" w:hAnsi="Cambria" w:cs="Times New Roman"/>
          <w:sz w:val="24"/>
          <w:szCs w:val="24"/>
          <w:lang w:val="id-ID" w:eastAsia="en-US"/>
        </w:rPr>
        <w:t xml:space="preserve"> </w:t>
      </w:r>
      <w:r w:rsidR="00F72FB5" w:rsidRPr="00F72FB5">
        <w:rPr>
          <w:rFonts w:ascii="Cambria" w:eastAsia="Times New Roman" w:hAnsi="Cambria" w:cs="Times New Roman"/>
          <w:sz w:val="24"/>
          <w:szCs w:val="24"/>
          <w:lang w:val="en-US" w:eastAsia="en-US"/>
        </w:rPr>
        <w:t>explain that a qualitative approach enables researchers to explore the meanings individuals construct regarding social and human issues.</w:t>
      </w:r>
    </w:p>
    <w:p w14:paraId="33F0F75D" w14:textId="4B319109" w:rsidR="0039525E" w:rsidRPr="00576E8D" w:rsidRDefault="003024DF" w:rsidP="00367B8E">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sz w:val="24"/>
          <w:szCs w:val="24"/>
        </w:rPr>
      </w:pPr>
      <w:r w:rsidRPr="003024DF">
        <w:rPr>
          <w:rFonts w:ascii="Cambria" w:eastAsia="Cambria" w:hAnsi="Cambria" w:cs="Cambria"/>
          <w:b/>
          <w:bCs/>
          <w:color w:val="000000"/>
          <w:sz w:val="24"/>
          <w:szCs w:val="24"/>
        </w:rPr>
        <w:t>Participants of the Study</w:t>
      </w:r>
    </w:p>
    <w:p w14:paraId="6C76E338" w14:textId="40AD6B19" w:rsidR="005C052A" w:rsidRPr="000A1654" w:rsidRDefault="003024DF" w:rsidP="00367B8E">
      <w:pPr>
        <w:pBdr>
          <w:top w:val="nil"/>
          <w:left w:val="nil"/>
          <w:bottom w:val="nil"/>
          <w:right w:val="nil"/>
          <w:between w:val="nil"/>
        </w:pBdr>
        <w:spacing w:after="120" w:line="240" w:lineRule="auto"/>
        <w:ind w:left="426" w:right="71" w:firstLine="567"/>
        <w:jc w:val="both"/>
        <w:rPr>
          <w:rFonts w:ascii="Cambria" w:eastAsia="Cambria" w:hAnsi="Cambria" w:cs="Cambria"/>
          <w:sz w:val="24"/>
          <w:szCs w:val="24"/>
        </w:rPr>
      </w:pPr>
      <w:r w:rsidRPr="003024DF">
        <w:rPr>
          <w:rFonts w:ascii="Cambria" w:eastAsia="Times New Roman" w:hAnsi="Cambria" w:cs="Times New Roman"/>
          <w:sz w:val="24"/>
          <w:szCs w:val="24"/>
          <w:lang w:val="en-US" w:eastAsia="en-US"/>
        </w:rPr>
        <w:t xml:space="preserve">The participants were selected purposively to ensure that the data reflected a range of relevant perspectives. The participants consisted of: (1) seven students from MI Al-Azhar </w:t>
      </w:r>
      <w:proofErr w:type="spellStart"/>
      <w:r w:rsidRPr="003024DF">
        <w:rPr>
          <w:rFonts w:ascii="Cambria" w:eastAsia="Times New Roman" w:hAnsi="Cambria" w:cs="Times New Roman"/>
          <w:sz w:val="24"/>
          <w:szCs w:val="24"/>
          <w:lang w:val="en-US" w:eastAsia="en-US"/>
        </w:rPr>
        <w:t>Samarinda</w:t>
      </w:r>
      <w:proofErr w:type="spellEnd"/>
      <w:r w:rsidRPr="003024DF">
        <w:rPr>
          <w:rFonts w:ascii="Cambria" w:eastAsia="Times New Roman" w:hAnsi="Cambria" w:cs="Times New Roman"/>
          <w:sz w:val="24"/>
          <w:szCs w:val="24"/>
          <w:lang w:val="en-US" w:eastAsia="en-US"/>
        </w:rPr>
        <w:t xml:space="preserve"> who actively used the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application for learning Islamic Religious Education (PAI) through its online tutoring program; (2) the parents of each participating student; (3) the Branch Manager of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w:t>
      </w:r>
      <w:proofErr w:type="spellStart"/>
      <w:r w:rsidRPr="003024DF">
        <w:rPr>
          <w:rFonts w:ascii="Cambria" w:eastAsia="Times New Roman" w:hAnsi="Cambria" w:cs="Times New Roman"/>
          <w:sz w:val="24"/>
          <w:szCs w:val="24"/>
          <w:lang w:val="en-US" w:eastAsia="en-US"/>
        </w:rPr>
        <w:t>Samarinda</w:t>
      </w:r>
      <w:proofErr w:type="spellEnd"/>
      <w:r w:rsidRPr="003024DF">
        <w:rPr>
          <w:rFonts w:ascii="Cambria" w:eastAsia="Times New Roman" w:hAnsi="Cambria" w:cs="Times New Roman"/>
          <w:sz w:val="24"/>
          <w:szCs w:val="24"/>
          <w:lang w:val="en-US" w:eastAsia="en-US"/>
        </w:rPr>
        <w:t xml:space="preserve">; and (4) a Marketing Officer of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w:t>
      </w:r>
      <w:proofErr w:type="spellStart"/>
      <w:r w:rsidRPr="003024DF">
        <w:rPr>
          <w:rFonts w:ascii="Cambria" w:eastAsia="Times New Roman" w:hAnsi="Cambria" w:cs="Times New Roman"/>
          <w:sz w:val="24"/>
          <w:szCs w:val="24"/>
          <w:lang w:val="en-US" w:eastAsia="en-US"/>
        </w:rPr>
        <w:t>Samarinda</w:t>
      </w:r>
      <w:proofErr w:type="spellEnd"/>
      <w:r w:rsidRPr="003024DF">
        <w:rPr>
          <w:rFonts w:ascii="Cambria" w:eastAsia="Times New Roman" w:hAnsi="Cambria" w:cs="Times New Roman"/>
          <w:sz w:val="24"/>
          <w:szCs w:val="24"/>
          <w:lang w:val="en-US" w:eastAsia="en-US"/>
        </w:rPr>
        <w:t>. This combination of participants provided a comprehensive understanding of the learning experience from the students' perspective, parental supervision from the parents' perspective, and platform management from the service provider's perspective.</w:t>
      </w:r>
      <w:r w:rsidR="00D20A04">
        <w:rPr>
          <w:rFonts w:ascii="Cambria" w:eastAsia="Cambria" w:hAnsi="Cambria" w:cs="Cambria"/>
          <w:sz w:val="24"/>
          <w:szCs w:val="24"/>
        </w:rPr>
        <w:t xml:space="preserve"> </w:t>
      </w:r>
    </w:p>
    <w:p w14:paraId="65E0D8AF" w14:textId="2AD25A6D" w:rsidR="0039525E" w:rsidRPr="00576E8D" w:rsidRDefault="003024DF" w:rsidP="00367B8E">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sz w:val="24"/>
          <w:szCs w:val="24"/>
        </w:rPr>
      </w:pPr>
      <w:r w:rsidRPr="003024DF">
        <w:rPr>
          <w:rFonts w:ascii="Cambria" w:eastAsia="Cambria" w:hAnsi="Cambria" w:cs="Times New Roman"/>
          <w:b/>
          <w:bCs/>
          <w:sz w:val="24"/>
          <w:szCs w:val="24"/>
          <w:lang w:eastAsia="en-US"/>
        </w:rPr>
        <w:t>Instruments</w:t>
      </w:r>
    </w:p>
    <w:p w14:paraId="1576F55C" w14:textId="7F8E82A1" w:rsidR="00D20A04" w:rsidRDefault="003024DF" w:rsidP="00367B8E">
      <w:pPr>
        <w:pBdr>
          <w:top w:val="nil"/>
          <w:left w:val="nil"/>
          <w:bottom w:val="nil"/>
          <w:right w:val="nil"/>
          <w:between w:val="nil"/>
        </w:pBdr>
        <w:spacing w:after="120" w:line="240" w:lineRule="auto"/>
        <w:ind w:left="426" w:right="71" w:firstLine="567"/>
        <w:jc w:val="both"/>
        <w:rPr>
          <w:rFonts w:ascii="Cambria" w:eastAsia="Times New Roman" w:hAnsi="Cambria" w:cs="Times New Roman"/>
          <w:sz w:val="24"/>
          <w:szCs w:val="24"/>
          <w:lang w:val="en-US" w:eastAsia="en-US"/>
        </w:rPr>
      </w:pPr>
      <w:r w:rsidRPr="003024DF">
        <w:rPr>
          <w:rFonts w:ascii="Cambria" w:eastAsia="Times New Roman" w:hAnsi="Cambria" w:cs="Times New Roman"/>
          <w:sz w:val="24"/>
          <w:szCs w:val="24"/>
          <w:lang w:val="en-US" w:eastAsia="en-US"/>
        </w:rPr>
        <w:t xml:space="preserve">Data were collected using three complementary techniques. First, observations were conducted at MI Al-Azhar </w:t>
      </w:r>
      <w:proofErr w:type="spellStart"/>
      <w:r w:rsidRPr="003024DF">
        <w:rPr>
          <w:rFonts w:ascii="Cambria" w:eastAsia="Times New Roman" w:hAnsi="Cambria" w:cs="Times New Roman"/>
          <w:sz w:val="24"/>
          <w:szCs w:val="24"/>
          <w:lang w:val="en-US" w:eastAsia="en-US"/>
        </w:rPr>
        <w:t>Samarinda</w:t>
      </w:r>
      <w:proofErr w:type="spellEnd"/>
      <w:r w:rsidRPr="003024DF">
        <w:rPr>
          <w:rFonts w:ascii="Cambria" w:eastAsia="Times New Roman" w:hAnsi="Cambria" w:cs="Times New Roman"/>
          <w:sz w:val="24"/>
          <w:szCs w:val="24"/>
          <w:lang w:val="en-US" w:eastAsia="en-US"/>
        </w:rPr>
        <w:t xml:space="preserve"> and the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Marketing Office in </w:t>
      </w:r>
      <w:proofErr w:type="spellStart"/>
      <w:r w:rsidRPr="003024DF">
        <w:rPr>
          <w:rFonts w:ascii="Cambria" w:eastAsia="Times New Roman" w:hAnsi="Cambria" w:cs="Times New Roman"/>
          <w:sz w:val="24"/>
          <w:szCs w:val="24"/>
          <w:lang w:val="en-US" w:eastAsia="en-US"/>
        </w:rPr>
        <w:t>Samarinda</w:t>
      </w:r>
      <w:proofErr w:type="spellEnd"/>
      <w:r w:rsidRPr="003024DF">
        <w:rPr>
          <w:rFonts w:ascii="Cambria" w:eastAsia="Times New Roman" w:hAnsi="Cambria" w:cs="Times New Roman"/>
          <w:sz w:val="24"/>
          <w:szCs w:val="24"/>
          <w:lang w:val="en-US" w:eastAsia="en-US"/>
        </w:rPr>
        <w:t xml:space="preserve"> to directly observe students' PAI learning activities using the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application. Second, in-depth interviews were conducted with all participants using a semi-structured interview guide. These interviews explored students' learning experiences, their use of </w:t>
      </w:r>
      <w:proofErr w:type="spellStart"/>
      <w:r w:rsidRPr="003024DF">
        <w:rPr>
          <w:rFonts w:ascii="Cambria" w:eastAsia="Times New Roman" w:hAnsi="Cambria" w:cs="Times New Roman"/>
          <w:sz w:val="24"/>
          <w:szCs w:val="24"/>
          <w:lang w:val="en-US" w:eastAsia="en-US"/>
        </w:rPr>
        <w:t>Ruangguru's</w:t>
      </w:r>
      <w:proofErr w:type="spellEnd"/>
      <w:r w:rsidRPr="003024DF">
        <w:rPr>
          <w:rFonts w:ascii="Cambria" w:eastAsia="Times New Roman" w:hAnsi="Cambria" w:cs="Times New Roman"/>
          <w:sz w:val="24"/>
          <w:szCs w:val="24"/>
          <w:lang w:val="en-US" w:eastAsia="en-US"/>
        </w:rPr>
        <w:t xml:space="preserve"> features, learning motivation, parental involvement in supporting the learning process, and the role of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in facilitating Islamic Religious Education (PAI) learning. Third, documentation was collected, including screenshots of the application's features, students' PAI scores before and after using </w:t>
      </w:r>
      <w:proofErr w:type="spellStart"/>
      <w:r w:rsidRPr="003024DF">
        <w:rPr>
          <w:rFonts w:ascii="Cambria" w:eastAsia="Times New Roman" w:hAnsi="Cambria" w:cs="Times New Roman"/>
          <w:sz w:val="24"/>
          <w:szCs w:val="24"/>
          <w:lang w:val="en-US" w:eastAsia="en-US"/>
        </w:rPr>
        <w:t>Ruangguru</w:t>
      </w:r>
      <w:proofErr w:type="spellEnd"/>
      <w:r w:rsidRPr="003024DF">
        <w:rPr>
          <w:rFonts w:ascii="Cambria" w:eastAsia="Times New Roman" w:hAnsi="Cambria" w:cs="Times New Roman"/>
          <w:sz w:val="24"/>
          <w:szCs w:val="24"/>
          <w:lang w:val="en-US" w:eastAsia="en-US"/>
        </w:rPr>
        <w:t xml:space="preserve">, and other supporting documents. The trustworthiness of the data was ensured through source triangulation and methodological triangulation </w:t>
      </w:r>
      <w:r w:rsidRPr="003024DF">
        <w:rPr>
          <w:rFonts w:ascii="Cambria" w:eastAsia="Times New Roman" w:hAnsi="Cambria" w:cs="Times New Roman"/>
          <w:sz w:val="24"/>
          <w:szCs w:val="24"/>
          <w:lang w:val="en-US" w:eastAsia="en-US"/>
        </w:rPr>
        <w:fldChar w:fldCharType="begin" w:fldLock="1"/>
      </w:r>
      <w:r w:rsidRPr="003024DF">
        <w:rPr>
          <w:rFonts w:ascii="Cambria" w:eastAsia="Times New Roman" w:hAnsi="Cambria" w:cs="Times New Roman"/>
          <w:sz w:val="24"/>
          <w:szCs w:val="24"/>
          <w:lang w:val="en-US" w:eastAsia="en-US"/>
        </w:rPr>
        <w:instrText>ADDIN CSL_CITATION {"citationItems":[{"id":"ITEM-1","itemData":{"ISBN":"978-602-8361-31-6","author":[{"dropping-particle":"","family":"Sugiyono","given":"","non-dropping-particle":"","parse-names":false,"suffix":""}],"edition":"2","id":"ITEM-1","issued":{"date-parts":[["2023"]]},"number-of-pages":"922","publisher":"Alfabeta","publisher-place":"Bandung","title":"Buku Metode Penelitian Pendidikan (Kuantitatif, kualitatif, kombinasi, dan Penelitian Pendidikan)","type":"book"},"uris":["http://www.mendeley.com/documents/?uuid=37c90079-5697-4455-acca-18f2d9f89004"]}],"mendeley":{"formattedCitation":"(Sugiyono, 2023)","plainTextFormattedCitation":"(Sugiyono, 2023)","previouslyFormattedCitation":"(Sugiyono, 2023)"},"properties":{"noteIndex":0},"schema":"https://github.com/citation-style-language/schema/raw/master/csl-citation.json"}</w:instrText>
      </w:r>
      <w:r w:rsidRPr="003024DF">
        <w:rPr>
          <w:rFonts w:ascii="Cambria" w:eastAsia="Times New Roman" w:hAnsi="Cambria" w:cs="Times New Roman"/>
          <w:sz w:val="24"/>
          <w:szCs w:val="24"/>
          <w:lang w:val="en-US" w:eastAsia="en-US"/>
        </w:rPr>
        <w:fldChar w:fldCharType="separate"/>
      </w:r>
      <w:r w:rsidRPr="003024DF">
        <w:rPr>
          <w:rFonts w:ascii="Cambria" w:eastAsia="Times New Roman" w:hAnsi="Cambria" w:cs="Times New Roman"/>
          <w:noProof/>
          <w:sz w:val="24"/>
          <w:szCs w:val="24"/>
          <w:lang w:val="en-US" w:eastAsia="en-US"/>
        </w:rPr>
        <w:t>(Sugiyono, 2023)</w:t>
      </w:r>
      <w:r w:rsidRPr="003024DF">
        <w:rPr>
          <w:rFonts w:ascii="Cambria" w:eastAsia="Times New Roman" w:hAnsi="Cambria" w:cs="Times New Roman"/>
          <w:sz w:val="24"/>
          <w:szCs w:val="24"/>
          <w:lang w:val="en-US" w:eastAsia="en-US"/>
        </w:rPr>
        <w:fldChar w:fldCharType="end"/>
      </w:r>
      <w:r>
        <w:rPr>
          <w:rFonts w:ascii="Cambria" w:eastAsia="Times New Roman" w:hAnsi="Cambria" w:cs="Times New Roman"/>
          <w:sz w:val="24"/>
          <w:szCs w:val="24"/>
          <w:lang w:val="en-US" w:eastAsia="en-US"/>
        </w:rPr>
        <w:t>.</w:t>
      </w:r>
    </w:p>
    <w:p w14:paraId="541BAE41" w14:textId="24EE4A73" w:rsidR="0039525E" w:rsidRPr="00576E8D" w:rsidRDefault="003024DF" w:rsidP="00367B8E">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sz w:val="24"/>
          <w:szCs w:val="24"/>
        </w:rPr>
      </w:pPr>
      <w:r w:rsidRPr="003024DF">
        <w:rPr>
          <w:rFonts w:ascii="Cambria" w:eastAsia="Cambria" w:hAnsi="Cambria" w:cs="Times New Roman"/>
          <w:b/>
          <w:bCs/>
          <w:sz w:val="24"/>
          <w:szCs w:val="24"/>
          <w:lang w:eastAsia="en-US"/>
        </w:rPr>
        <w:t>Data Analysis Techniques</w:t>
      </w:r>
    </w:p>
    <w:p w14:paraId="1B89634D" w14:textId="0C9ED679" w:rsidR="0039525E" w:rsidRDefault="003024DF" w:rsidP="00FF4DEE">
      <w:pPr>
        <w:spacing w:after="0" w:line="240" w:lineRule="auto"/>
        <w:ind w:left="426" w:right="71" w:firstLine="567"/>
        <w:jc w:val="both"/>
        <w:rPr>
          <w:rFonts w:ascii="Cambria" w:eastAsia="Times New Roman" w:hAnsi="Cambria" w:cs="Times New Roman"/>
          <w:sz w:val="24"/>
          <w:szCs w:val="24"/>
          <w:lang w:val="en-US" w:eastAsia="en-US"/>
        </w:rPr>
      </w:pPr>
      <w:r w:rsidRPr="003024DF">
        <w:rPr>
          <w:rFonts w:ascii="Cambria" w:eastAsia="Times New Roman" w:hAnsi="Cambria" w:cs="Times New Roman"/>
          <w:sz w:val="24"/>
          <w:szCs w:val="24"/>
          <w:lang w:val="en-US" w:eastAsia="en-US"/>
        </w:rPr>
        <w:t xml:space="preserve">Data were analyzed using the interactive model developed by </w:t>
      </w:r>
      <w:r w:rsidRPr="003024DF">
        <w:rPr>
          <w:rFonts w:ascii="Cambria" w:eastAsia="Times New Roman" w:hAnsi="Cambria" w:cs="Times New Roman"/>
          <w:sz w:val="24"/>
          <w:szCs w:val="24"/>
          <w:lang w:val="en-US" w:eastAsia="en-US"/>
        </w:rPr>
        <w:fldChar w:fldCharType="begin" w:fldLock="1"/>
      </w:r>
      <w:r w:rsidRPr="003024DF">
        <w:rPr>
          <w:rFonts w:ascii="Cambria" w:eastAsia="Times New Roman" w:hAnsi="Cambria" w:cs="Times New Roman"/>
          <w:sz w:val="24"/>
          <w:szCs w:val="24"/>
          <w:lang w:val="en-US" w:eastAsia="en-US"/>
        </w:rPr>
        <w:instrText>ADDIN CSL_CITATION {"citationItems":[{"id":"ITEM-1","itemData":{"DOI":"10.4324/9781315697239-20","ISBN":"9781506353081","abstract":"With the widespread awareness of Big Data, mission leaders now expect that the data available to their organizations will be immediately relevant to their missions. However, the continuing onslaught of the \"data tsunami\", with data becoming more diverse, changing nature more quickly, and growing in volume and speed, confounds all but the simplest analysis and the most capable organizations. The core challenge faced by an analyst is to discover the most important knowledge in the data. She must overcome potential errors and inaccuracies in the data and explore it, even though she understands it incompletely, guided by her knowledge of the data's domain. We have solved customer problems by quickly analyzing numerous dimensions of data to check its sanity and to compare it to expected values. Guided by what we find initially, we quickly move on to further (unanticipated) dimensions of the data; discovery depends on this ability. This approach vitally brings the analyst into direct interaction with the data. We implement this approach by exploiting the ability of graphs (vertices and edges) to represent highly heterogeneous data. We use RDF as the data representation and SPARQL for queries. We use non-parametric tests, which are readily targeted to any type of data. This graph-analytic approach, using proven techniques with widely diverse data, represents a guidepost for delivering greatly improved analysis on much more complex data.","author":[{"dropping-particle":"","family":"Miles","given":"Matthew B.","non-dropping-particle":"","parse-names":false,"suffix":""},{"dropping-particle":"","family":"Huberman","given":"A. Michael","non-dropping-particle":"","parse-names":false,"suffix":""},{"dropping-particle":"","family":"Saldaña","given":"Johnny","non-dropping-particle":"","parse-names":false,"suffix":""}],"container-title":"SAGE","edition":"3","id":"ITEM-1","issued":{"date-parts":[["2021"]]},"number-of-pages":"1-373","publisher":"SAGE","publisher-place":"USA","title":"Qualitative Data Analysis","type":"book"},"uris":["http://www.mendeley.com/documents/?uuid=fdf1a790-f358-4c51-9081-01917ff2fd8b"]}],"mendeley":{"formattedCitation":"(Miles et al., 2021)","plainTextFormattedCitation":"(Miles et al., 2021)","previouslyFormattedCitation":"(Miles et al., 2021)"},"properties":{"noteIndex":0},"schema":"https://github.com/citation-style-language/schema/raw/master/csl-citation.json"}</w:instrText>
      </w:r>
      <w:r w:rsidRPr="003024DF">
        <w:rPr>
          <w:rFonts w:ascii="Cambria" w:eastAsia="Times New Roman" w:hAnsi="Cambria" w:cs="Times New Roman"/>
          <w:sz w:val="24"/>
          <w:szCs w:val="24"/>
          <w:lang w:val="en-US" w:eastAsia="en-US"/>
        </w:rPr>
        <w:fldChar w:fldCharType="separate"/>
      </w:r>
      <w:r w:rsidRPr="003024DF">
        <w:rPr>
          <w:rFonts w:ascii="Cambria" w:eastAsia="Times New Roman" w:hAnsi="Cambria" w:cs="Times New Roman"/>
          <w:noProof/>
          <w:sz w:val="24"/>
          <w:szCs w:val="24"/>
          <w:lang w:val="en-US" w:eastAsia="en-US"/>
        </w:rPr>
        <w:t>Miles et al. (2021)</w:t>
      </w:r>
      <w:r w:rsidRPr="003024DF">
        <w:rPr>
          <w:rFonts w:ascii="Cambria" w:eastAsia="Times New Roman" w:hAnsi="Cambria" w:cs="Times New Roman"/>
          <w:sz w:val="24"/>
          <w:szCs w:val="24"/>
          <w:lang w:val="en-US" w:eastAsia="en-US"/>
        </w:rPr>
        <w:fldChar w:fldCharType="end"/>
      </w:r>
      <w:r w:rsidRPr="003024DF">
        <w:rPr>
          <w:rFonts w:ascii="Cambria" w:eastAsia="Times New Roman" w:hAnsi="Cambria" w:cs="Times New Roman"/>
          <w:sz w:val="24"/>
          <w:szCs w:val="24"/>
          <w:lang w:val="en-US" w:eastAsia="en-US"/>
        </w:rPr>
        <w:t>, which consists of three cyclical components: data condensation, data display, and conclusion drawing and verification. Data condensation involved selecting, simplifying, and focusing raw data obtained from field notes, interview transcripts, and documents. Data display was carried out by presenting the organized data in the form of a systematic narrative. Conclusion drawing and verification were conducted continuously throughout the research process until credible and trustworthy conclusions were reached.</w:t>
      </w:r>
    </w:p>
    <w:p w14:paraId="6E90996D" w14:textId="77777777" w:rsidR="00FF4DEE" w:rsidRDefault="00FF4DEE" w:rsidP="00FF4DEE">
      <w:pPr>
        <w:spacing w:after="0" w:line="240" w:lineRule="auto"/>
        <w:ind w:left="426" w:right="71" w:firstLine="567"/>
        <w:jc w:val="both"/>
        <w:rPr>
          <w:rFonts w:ascii="Cambria" w:eastAsia="Cambria" w:hAnsi="Cambria" w:cs="Cambria"/>
          <w:sz w:val="24"/>
          <w:szCs w:val="24"/>
          <w:highlight w:val="white"/>
        </w:rPr>
      </w:pPr>
    </w:p>
    <w:p w14:paraId="21119ADF" w14:textId="7A1970BA" w:rsidR="002D4ABB" w:rsidRPr="002D4ABB" w:rsidRDefault="00320985" w:rsidP="00367B8E">
      <w:pPr>
        <w:numPr>
          <w:ilvl w:val="0"/>
          <w:numId w:val="1"/>
        </w:numPr>
        <w:pBdr>
          <w:top w:val="nil"/>
          <w:left w:val="nil"/>
          <w:bottom w:val="nil"/>
          <w:right w:val="nil"/>
          <w:between w:val="nil"/>
        </w:pBdr>
        <w:spacing w:after="0" w:line="240" w:lineRule="auto"/>
        <w:ind w:left="426" w:right="71" w:hanging="426"/>
        <w:jc w:val="both"/>
        <w:rPr>
          <w:rFonts w:ascii="Cambria" w:eastAsia="Cambria" w:hAnsi="Cambria" w:cs="Cambria"/>
          <w:color w:val="000000"/>
          <w:sz w:val="24"/>
          <w:szCs w:val="24"/>
        </w:rPr>
      </w:pPr>
      <w:r>
        <w:rPr>
          <w:rFonts w:ascii="Cambria" w:eastAsia="Cambria" w:hAnsi="Cambria" w:cs="Cambria"/>
          <w:b/>
          <w:bCs/>
          <w:color w:val="000000"/>
          <w:sz w:val="24"/>
          <w:szCs w:val="24"/>
        </w:rPr>
        <w:t>Findings</w:t>
      </w:r>
      <w:r w:rsidR="002D4ABB">
        <w:rPr>
          <w:rFonts w:ascii="Cambria" w:eastAsia="Cambria" w:hAnsi="Cambria" w:cs="Cambria"/>
          <w:color w:val="000000"/>
          <w:sz w:val="24"/>
          <w:szCs w:val="24"/>
        </w:rPr>
        <w:t xml:space="preserve">  </w:t>
      </w:r>
      <w:r w:rsidR="002D4ABB" w:rsidRPr="002D4ABB">
        <w:rPr>
          <w:rFonts w:ascii="Cambria" w:eastAsia="Cambria" w:hAnsi="Cambria" w:cs="Cambria"/>
          <w:color w:val="000000"/>
          <w:sz w:val="24"/>
          <w:szCs w:val="24"/>
        </w:rPr>
        <w:t xml:space="preserve"> </w:t>
      </w:r>
    </w:p>
    <w:p w14:paraId="53B5D89E" w14:textId="4779F167" w:rsidR="00F83C4B" w:rsidRDefault="00F11127" w:rsidP="00F11127">
      <w:pPr>
        <w:spacing w:after="120" w:line="240" w:lineRule="auto"/>
        <w:ind w:left="426" w:right="71" w:firstLine="567"/>
        <w:jc w:val="both"/>
        <w:rPr>
          <w:rFonts w:ascii="Cambria" w:eastAsia="Cambria" w:hAnsi="Cambria" w:cs="Cambria"/>
          <w:sz w:val="24"/>
          <w:szCs w:val="24"/>
          <w:highlight w:val="white"/>
        </w:rPr>
      </w:pPr>
      <w:r w:rsidRPr="00F11127">
        <w:rPr>
          <w:rFonts w:ascii="Cambria" w:eastAsia="Times New Roman" w:hAnsi="Cambria" w:cs="Times New Roman"/>
          <w:sz w:val="24"/>
          <w:szCs w:val="24"/>
          <w:lang w:val="en-US" w:eastAsia="en-US"/>
        </w:rPr>
        <w:t xml:space="preserve">Based on the triangulation of interview, observation, and documentation data, </w:t>
      </w:r>
      <w:proofErr w:type="spellStart"/>
      <w:r w:rsidRPr="00F11127">
        <w:rPr>
          <w:rFonts w:ascii="Cambria" w:eastAsia="Times New Roman" w:hAnsi="Cambria" w:cs="Times New Roman"/>
          <w:sz w:val="24"/>
          <w:szCs w:val="24"/>
          <w:lang w:val="en-US" w:eastAsia="en-US"/>
        </w:rPr>
        <w:t>Ruangguru</w:t>
      </w:r>
      <w:proofErr w:type="spellEnd"/>
      <w:r w:rsidRPr="00F11127">
        <w:rPr>
          <w:rFonts w:ascii="Cambria" w:eastAsia="Times New Roman" w:hAnsi="Cambria" w:cs="Times New Roman"/>
          <w:sz w:val="24"/>
          <w:szCs w:val="24"/>
          <w:lang w:val="en-US" w:eastAsia="en-US"/>
        </w:rPr>
        <w:t xml:space="preserve"> in </w:t>
      </w:r>
      <w:proofErr w:type="spellStart"/>
      <w:r w:rsidRPr="00F11127">
        <w:rPr>
          <w:rFonts w:ascii="Cambria" w:eastAsia="Times New Roman" w:hAnsi="Cambria" w:cs="Times New Roman"/>
          <w:sz w:val="24"/>
          <w:szCs w:val="24"/>
          <w:lang w:val="en-US" w:eastAsia="en-US"/>
        </w:rPr>
        <w:t>Samarinda</w:t>
      </w:r>
      <w:proofErr w:type="spellEnd"/>
      <w:r w:rsidRPr="00F11127">
        <w:rPr>
          <w:rFonts w:ascii="Cambria" w:eastAsia="Times New Roman" w:hAnsi="Cambria" w:cs="Times New Roman"/>
          <w:sz w:val="24"/>
          <w:szCs w:val="24"/>
          <w:lang w:val="en-US" w:eastAsia="en-US"/>
        </w:rPr>
        <w:t xml:space="preserve"> implements an e-learning-based learning model. Interviews with students, parents, and </w:t>
      </w:r>
      <w:proofErr w:type="spellStart"/>
      <w:r w:rsidRPr="00F11127">
        <w:rPr>
          <w:rFonts w:ascii="Cambria" w:eastAsia="Times New Roman" w:hAnsi="Cambria" w:cs="Times New Roman"/>
          <w:sz w:val="24"/>
          <w:szCs w:val="24"/>
          <w:lang w:val="en-US" w:eastAsia="en-US"/>
        </w:rPr>
        <w:t>Ruangguru</w:t>
      </w:r>
      <w:proofErr w:type="spellEnd"/>
      <w:r w:rsidRPr="00F11127">
        <w:rPr>
          <w:rFonts w:ascii="Cambria" w:eastAsia="Times New Roman" w:hAnsi="Cambria" w:cs="Times New Roman"/>
          <w:sz w:val="24"/>
          <w:szCs w:val="24"/>
          <w:lang w:val="en-US" w:eastAsia="en-US"/>
        </w:rPr>
        <w:t xml:space="preserve"> representatives revealed that the </w:t>
      </w:r>
      <w:proofErr w:type="spellStart"/>
      <w:r w:rsidRPr="00F11127">
        <w:rPr>
          <w:rFonts w:ascii="Cambria" w:eastAsia="Times New Roman" w:hAnsi="Cambria" w:cs="Times New Roman"/>
          <w:sz w:val="24"/>
          <w:szCs w:val="24"/>
          <w:lang w:val="en-US" w:eastAsia="en-US"/>
        </w:rPr>
        <w:t>Ruangngaji</w:t>
      </w:r>
      <w:proofErr w:type="spellEnd"/>
      <w:r w:rsidRPr="00F11127">
        <w:rPr>
          <w:rFonts w:ascii="Cambria" w:eastAsia="Times New Roman" w:hAnsi="Cambria" w:cs="Times New Roman"/>
          <w:sz w:val="24"/>
          <w:szCs w:val="24"/>
          <w:lang w:val="en-US" w:eastAsia="en-US"/>
        </w:rPr>
        <w:t xml:space="preserve"> feature serves as the primary learning medium used by students to study Islamic Religious Education (PAI). These findings were further supported by observations of the platform and documentation of its learning features, which demonstrated the integration of various instructional components, including learning videos, chapter summaries, practice exercises, and learning progress monitoring.</w:t>
      </w:r>
      <w:r w:rsidR="00766438">
        <w:rPr>
          <w:rFonts w:ascii="Cambria" w:eastAsia="Cambria" w:hAnsi="Cambria" w:cs="Cambria"/>
          <w:sz w:val="24"/>
          <w:szCs w:val="24"/>
          <w:highlight w:val="white"/>
        </w:rPr>
        <w:t xml:space="preserve"> </w:t>
      </w:r>
    </w:p>
    <w:p w14:paraId="3624B3EB" w14:textId="36E763DC" w:rsidR="00754C98" w:rsidRPr="00754C98" w:rsidRDefault="00754C98" w:rsidP="00C929D5">
      <w:pPr>
        <w:pStyle w:val="ListParagraph"/>
        <w:numPr>
          <w:ilvl w:val="3"/>
          <w:numId w:val="1"/>
        </w:numPr>
        <w:spacing w:after="0" w:line="240" w:lineRule="auto"/>
        <w:ind w:left="709" w:right="71" w:hanging="283"/>
        <w:jc w:val="both"/>
        <w:rPr>
          <w:rFonts w:ascii="Cambria" w:eastAsia="Cambria" w:hAnsi="Cambria" w:cs="Cambria"/>
          <w:b/>
          <w:bCs/>
          <w:sz w:val="24"/>
          <w:szCs w:val="24"/>
          <w:highlight w:val="white"/>
        </w:rPr>
      </w:pPr>
      <w:r w:rsidRPr="00754C98">
        <w:rPr>
          <w:rFonts w:ascii="Cambria" w:eastAsia="Cambria" w:hAnsi="Cambria" w:cs="Cambria"/>
          <w:b/>
          <w:bCs/>
          <w:sz w:val="24"/>
          <w:szCs w:val="24"/>
        </w:rPr>
        <w:t xml:space="preserve">The </w:t>
      </w:r>
      <w:proofErr w:type="spellStart"/>
      <w:r w:rsidRPr="00754C98">
        <w:rPr>
          <w:rFonts w:ascii="Cambria" w:eastAsia="Cambria" w:hAnsi="Cambria" w:cs="Cambria"/>
          <w:b/>
          <w:bCs/>
          <w:sz w:val="24"/>
          <w:szCs w:val="24"/>
        </w:rPr>
        <w:t>Ruangngaji</w:t>
      </w:r>
      <w:proofErr w:type="spellEnd"/>
      <w:r w:rsidRPr="00754C98">
        <w:rPr>
          <w:rFonts w:ascii="Cambria" w:eastAsia="Cambria" w:hAnsi="Cambria" w:cs="Cambria"/>
          <w:b/>
          <w:bCs/>
          <w:sz w:val="24"/>
          <w:szCs w:val="24"/>
        </w:rPr>
        <w:t xml:space="preserve"> Feature</w:t>
      </w:r>
    </w:p>
    <w:p w14:paraId="38E0CC06" w14:textId="77777777" w:rsidR="00F11127" w:rsidRPr="00F11127" w:rsidRDefault="00F11127" w:rsidP="00F11127">
      <w:pPr>
        <w:spacing w:after="0" w:line="240" w:lineRule="auto"/>
        <w:ind w:left="426" w:right="71" w:firstLine="567"/>
        <w:jc w:val="both"/>
        <w:rPr>
          <w:rFonts w:ascii="Cambria" w:hAnsi="Cambria" w:cstheme="majorBidi"/>
          <w:color w:val="000000" w:themeColor="text1"/>
          <w:sz w:val="24"/>
          <w:szCs w:val="24"/>
        </w:rPr>
      </w:pPr>
      <w:proofErr w:type="spellStart"/>
      <w:r w:rsidRPr="00F11127">
        <w:rPr>
          <w:rFonts w:ascii="Cambria" w:hAnsi="Cambria" w:cstheme="majorBidi"/>
          <w:color w:val="000000" w:themeColor="text1"/>
          <w:sz w:val="24"/>
          <w:szCs w:val="24"/>
        </w:rPr>
        <w:t>Ruangngaji</w:t>
      </w:r>
      <w:proofErr w:type="spellEnd"/>
      <w:r w:rsidRPr="00F11127">
        <w:rPr>
          <w:rFonts w:ascii="Cambria" w:hAnsi="Cambria" w:cstheme="majorBidi"/>
          <w:color w:val="000000" w:themeColor="text1"/>
          <w:sz w:val="24"/>
          <w:szCs w:val="24"/>
        </w:rPr>
        <w:t xml:space="preserve"> is the core feature used by students of MI Al-Azhar </w:t>
      </w:r>
      <w:proofErr w:type="spellStart"/>
      <w:r w:rsidRPr="00F11127">
        <w:rPr>
          <w:rFonts w:ascii="Cambria" w:hAnsi="Cambria" w:cstheme="majorBidi"/>
          <w:color w:val="000000" w:themeColor="text1"/>
          <w:sz w:val="24"/>
          <w:szCs w:val="24"/>
        </w:rPr>
        <w:t>Samarinda</w:t>
      </w:r>
      <w:proofErr w:type="spellEnd"/>
      <w:r w:rsidRPr="00F11127">
        <w:rPr>
          <w:rFonts w:ascii="Cambria" w:hAnsi="Cambria" w:cstheme="majorBidi"/>
          <w:color w:val="000000" w:themeColor="text1"/>
          <w:sz w:val="24"/>
          <w:szCs w:val="24"/>
        </w:rPr>
        <w:t xml:space="preserve"> to learn Islamic Religious Education (PAI). This feature presents PAI instructional videos in an engaging animated-cartoon format designed to suit elementary school students. Each subtopic is accompanied by an interactive learning video that incorporates short formative assessments throughout the lesson. If a student answers a question incorrectly, the video is replayed to reinforce understanding; if the answer is correct, the student automatically proceeds to the next section.</w:t>
      </w:r>
    </w:p>
    <w:p w14:paraId="4910A6DF" w14:textId="77777777" w:rsidR="00F11127" w:rsidRPr="00F11127" w:rsidRDefault="00F11127" w:rsidP="00F11127">
      <w:pPr>
        <w:spacing w:after="0" w:line="240" w:lineRule="auto"/>
        <w:ind w:left="426" w:right="71" w:firstLine="567"/>
        <w:jc w:val="both"/>
        <w:rPr>
          <w:rFonts w:ascii="Cambria" w:hAnsi="Cambria" w:cstheme="majorBidi"/>
          <w:color w:val="000000" w:themeColor="text1"/>
          <w:sz w:val="24"/>
          <w:szCs w:val="24"/>
        </w:rPr>
      </w:pPr>
      <w:r w:rsidRPr="00F11127">
        <w:rPr>
          <w:rFonts w:ascii="Cambria" w:hAnsi="Cambria" w:cstheme="majorBidi"/>
          <w:color w:val="000000" w:themeColor="text1"/>
          <w:sz w:val="24"/>
          <w:szCs w:val="24"/>
        </w:rPr>
        <w:t xml:space="preserve">Based on the interview findings, all participating students identified </w:t>
      </w:r>
      <w:proofErr w:type="spellStart"/>
      <w:r w:rsidRPr="00F11127">
        <w:rPr>
          <w:rFonts w:ascii="Cambria" w:hAnsi="Cambria" w:cstheme="majorBidi"/>
          <w:color w:val="000000" w:themeColor="text1"/>
          <w:sz w:val="24"/>
          <w:szCs w:val="24"/>
        </w:rPr>
        <w:t>Ruangngaji</w:t>
      </w:r>
      <w:proofErr w:type="spellEnd"/>
      <w:r w:rsidRPr="00F11127">
        <w:rPr>
          <w:rFonts w:ascii="Cambria" w:hAnsi="Cambria" w:cstheme="majorBidi"/>
          <w:color w:val="000000" w:themeColor="text1"/>
          <w:sz w:val="24"/>
          <w:szCs w:val="24"/>
        </w:rPr>
        <w:t xml:space="preserve"> as the feature they used most frequently for learning PAI. Observations also revealed that the learning materials were delivered through interactive animated videos complemented by short practice exercises for each subtopic. When students provided incorrect answers, the system prompted them to review the material before continuing to the next section. These findings indicate that the presentation of learning materials through interactive animated videos is one of the defining characteristics of </w:t>
      </w:r>
      <w:proofErr w:type="spellStart"/>
      <w:r w:rsidRPr="00F11127">
        <w:rPr>
          <w:rFonts w:ascii="Cambria" w:hAnsi="Cambria" w:cstheme="majorBidi"/>
          <w:color w:val="000000" w:themeColor="text1"/>
          <w:sz w:val="24"/>
          <w:szCs w:val="24"/>
        </w:rPr>
        <w:t>Ruangngaji</w:t>
      </w:r>
      <w:proofErr w:type="spellEnd"/>
      <w:r w:rsidRPr="00F11127">
        <w:rPr>
          <w:rFonts w:ascii="Cambria" w:hAnsi="Cambria" w:cstheme="majorBidi"/>
          <w:color w:val="000000" w:themeColor="text1"/>
          <w:sz w:val="24"/>
          <w:szCs w:val="24"/>
        </w:rPr>
        <w:t>, as perceived by students, parents, and platform representatives, and serves as an important factor in supporting the PAI learning process.</w:t>
      </w:r>
    </w:p>
    <w:p w14:paraId="6344CE23" w14:textId="5DCB2ED0" w:rsidR="00F11127" w:rsidRPr="00F11127" w:rsidRDefault="00F11127" w:rsidP="00F11127">
      <w:pPr>
        <w:spacing w:after="0" w:line="240" w:lineRule="auto"/>
        <w:ind w:left="426" w:right="71" w:firstLine="567"/>
        <w:jc w:val="both"/>
        <w:rPr>
          <w:rFonts w:ascii="Cambria" w:hAnsi="Cambria" w:cstheme="majorBidi"/>
          <w:color w:val="000000" w:themeColor="text1"/>
          <w:sz w:val="24"/>
          <w:szCs w:val="24"/>
        </w:rPr>
      </w:pPr>
      <w:r w:rsidRPr="00F11127">
        <w:rPr>
          <w:rFonts w:ascii="Cambria" w:hAnsi="Cambria" w:cstheme="majorBidi"/>
          <w:color w:val="000000" w:themeColor="text1"/>
          <w:sz w:val="24"/>
          <w:szCs w:val="24"/>
        </w:rPr>
        <w:t xml:space="preserve">As a practical example, in lessons covering short chapters or surahs of the Qur’an, the introductory video presents each surah along with its explanation, including guidance on </w:t>
      </w:r>
      <w:proofErr w:type="spellStart"/>
      <w:r w:rsidRPr="00F11127">
        <w:rPr>
          <w:rFonts w:ascii="Cambria" w:hAnsi="Cambria" w:cstheme="majorBidi"/>
          <w:color w:val="000000" w:themeColor="text1"/>
          <w:sz w:val="24"/>
          <w:szCs w:val="24"/>
        </w:rPr>
        <w:t>makharij</w:t>
      </w:r>
      <w:proofErr w:type="spellEnd"/>
      <w:r w:rsidRPr="00F11127">
        <w:rPr>
          <w:rFonts w:ascii="Cambria" w:hAnsi="Cambria" w:cstheme="majorBidi"/>
          <w:color w:val="000000" w:themeColor="text1"/>
          <w:sz w:val="24"/>
          <w:szCs w:val="24"/>
        </w:rPr>
        <w:t xml:space="preserve"> al-</w:t>
      </w:r>
      <w:proofErr w:type="spellStart"/>
      <w:r w:rsidRPr="00F11127">
        <w:rPr>
          <w:rFonts w:ascii="Cambria" w:hAnsi="Cambria" w:cstheme="majorBidi"/>
          <w:color w:val="000000" w:themeColor="text1"/>
          <w:sz w:val="24"/>
          <w:szCs w:val="24"/>
        </w:rPr>
        <w:t>huruf</w:t>
      </w:r>
      <w:proofErr w:type="spellEnd"/>
      <w:r w:rsidRPr="00F11127">
        <w:rPr>
          <w:rFonts w:ascii="Cambria" w:hAnsi="Cambria" w:cstheme="majorBidi"/>
          <w:color w:val="000000" w:themeColor="text1"/>
          <w:sz w:val="24"/>
          <w:szCs w:val="24"/>
        </w:rPr>
        <w:t>, or the proper articulation points of Arabic letters. These pronunciation guides are illustrated through animated visualizations, making them easier for students who are beginning to learn Arabic pronunciation to understand and practice.</w:t>
      </w:r>
    </w:p>
    <w:p w14:paraId="64C46F7B" w14:textId="77777777" w:rsidR="00FF4DEE" w:rsidRPr="00754C98" w:rsidRDefault="00FF4DEE" w:rsidP="00C929D5">
      <w:pPr>
        <w:spacing w:after="0" w:line="240" w:lineRule="auto"/>
        <w:ind w:left="426" w:right="71" w:firstLine="567"/>
        <w:jc w:val="both"/>
        <w:rPr>
          <w:rFonts w:ascii="Cambria" w:hAnsi="Cambria" w:cstheme="majorBidi"/>
          <w:sz w:val="24"/>
          <w:szCs w:val="24"/>
        </w:rPr>
      </w:pPr>
    </w:p>
    <w:p w14:paraId="07F51618" w14:textId="3A8CBC2D" w:rsidR="00754C98" w:rsidRDefault="00754C98" w:rsidP="00592DD5">
      <w:pPr>
        <w:pStyle w:val="ListParagraph"/>
        <w:spacing w:after="0" w:line="240" w:lineRule="auto"/>
        <w:ind w:left="360" w:right="71" w:firstLine="349"/>
        <w:jc w:val="both"/>
        <w:rPr>
          <w:rFonts w:ascii="Cambria" w:eastAsia="Cambria" w:hAnsi="Cambria" w:cs="Cambria"/>
          <w:sz w:val="24"/>
          <w:szCs w:val="24"/>
          <w:highlight w:val="white"/>
        </w:rPr>
      </w:pPr>
      <w:r w:rsidRPr="00A2455A">
        <w:rPr>
          <w:noProof/>
        </w:rPr>
        <w:drawing>
          <wp:inline distT="0" distB="0" distL="0" distR="0" wp14:anchorId="441BEE61" wp14:editId="76ED3526">
            <wp:extent cx="2553335" cy="4016728"/>
            <wp:effectExtent l="0" t="0" r="0" b="3175"/>
            <wp:docPr id="733279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79334" name=""/>
                    <pic:cNvPicPr/>
                  </pic:nvPicPr>
                  <pic:blipFill>
                    <a:blip r:embed="rId15"/>
                    <a:stretch>
                      <a:fillRect/>
                    </a:stretch>
                  </pic:blipFill>
                  <pic:spPr>
                    <a:xfrm>
                      <a:off x="0" y="0"/>
                      <a:ext cx="2568790" cy="4041041"/>
                    </a:xfrm>
                    <a:prstGeom prst="rect">
                      <a:avLst/>
                    </a:prstGeom>
                  </pic:spPr>
                </pic:pic>
              </a:graphicData>
            </a:graphic>
          </wp:inline>
        </w:drawing>
      </w:r>
      <w:r w:rsidRPr="00A2455A">
        <w:rPr>
          <w:noProof/>
        </w:rPr>
        <w:drawing>
          <wp:inline distT="0" distB="0" distL="0" distR="0" wp14:anchorId="2FDCDFFD" wp14:editId="29085F9B">
            <wp:extent cx="2579370" cy="4012608"/>
            <wp:effectExtent l="0" t="0" r="0" b="6985"/>
            <wp:docPr id="157715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56120" name=""/>
                    <pic:cNvPicPr/>
                  </pic:nvPicPr>
                  <pic:blipFill>
                    <a:blip r:embed="rId16"/>
                    <a:stretch>
                      <a:fillRect/>
                    </a:stretch>
                  </pic:blipFill>
                  <pic:spPr>
                    <a:xfrm>
                      <a:off x="0" y="0"/>
                      <a:ext cx="2600965" cy="4046202"/>
                    </a:xfrm>
                    <a:prstGeom prst="rect">
                      <a:avLst/>
                    </a:prstGeom>
                  </pic:spPr>
                </pic:pic>
              </a:graphicData>
            </a:graphic>
          </wp:inline>
        </w:drawing>
      </w:r>
    </w:p>
    <w:p w14:paraId="751CFA02" w14:textId="77777777" w:rsidR="00754C98" w:rsidRDefault="00754C98" w:rsidP="00754C98">
      <w:pPr>
        <w:pStyle w:val="ListParagraph"/>
        <w:spacing w:after="0" w:line="240" w:lineRule="auto"/>
        <w:ind w:left="360" w:right="71"/>
        <w:jc w:val="both"/>
        <w:rPr>
          <w:rFonts w:ascii="Cambria" w:eastAsia="Cambria" w:hAnsi="Cambria" w:cs="Cambria"/>
          <w:sz w:val="24"/>
          <w:szCs w:val="24"/>
          <w:highlight w:val="white"/>
        </w:rPr>
      </w:pPr>
    </w:p>
    <w:p w14:paraId="43974520" w14:textId="083EE579" w:rsidR="00754C98" w:rsidRPr="00754C98" w:rsidRDefault="00754C98" w:rsidP="00754C98">
      <w:pPr>
        <w:pStyle w:val="ListParagraph"/>
        <w:spacing w:after="0" w:line="240" w:lineRule="auto"/>
        <w:ind w:left="360" w:right="71"/>
        <w:jc w:val="center"/>
        <w:rPr>
          <w:rFonts w:ascii="Cambria" w:eastAsia="Cambria" w:hAnsi="Cambria" w:cs="Cambria"/>
          <w:sz w:val="24"/>
          <w:szCs w:val="24"/>
          <w:highlight w:val="white"/>
        </w:rPr>
      </w:pPr>
      <w:r w:rsidRPr="00754C98">
        <w:rPr>
          <w:rFonts w:ascii="Cambria" w:eastAsia="Times New Roman" w:hAnsi="Cambria" w:cs="Times New Roman"/>
          <w:b/>
          <w:bCs/>
          <w:sz w:val="24"/>
          <w:szCs w:val="24"/>
          <w:lang w:val="en-US" w:eastAsia="en-US"/>
        </w:rPr>
        <w:t xml:space="preserve">Figure 1. The </w:t>
      </w:r>
      <w:proofErr w:type="spellStart"/>
      <w:r w:rsidRPr="00754C98">
        <w:rPr>
          <w:rFonts w:ascii="Cambria" w:eastAsia="Times New Roman" w:hAnsi="Cambria" w:cs="Times New Roman"/>
          <w:b/>
          <w:bCs/>
          <w:sz w:val="24"/>
          <w:szCs w:val="24"/>
          <w:lang w:val="en-US" w:eastAsia="en-US"/>
        </w:rPr>
        <w:t>Ruangngaji</w:t>
      </w:r>
      <w:proofErr w:type="spellEnd"/>
      <w:r w:rsidRPr="00754C98">
        <w:rPr>
          <w:rFonts w:ascii="Cambria" w:eastAsia="Times New Roman" w:hAnsi="Cambria" w:cs="Times New Roman"/>
          <w:b/>
          <w:bCs/>
          <w:sz w:val="24"/>
          <w:szCs w:val="24"/>
          <w:lang w:val="en-US" w:eastAsia="en-US"/>
        </w:rPr>
        <w:t xml:space="preserve"> Feature in </w:t>
      </w:r>
      <w:proofErr w:type="spellStart"/>
      <w:r w:rsidRPr="00754C98">
        <w:rPr>
          <w:rFonts w:ascii="Cambria" w:eastAsia="Times New Roman" w:hAnsi="Cambria" w:cs="Times New Roman"/>
          <w:b/>
          <w:bCs/>
          <w:sz w:val="24"/>
          <w:szCs w:val="24"/>
          <w:lang w:val="en-US" w:eastAsia="en-US"/>
        </w:rPr>
        <w:t>Ruangguru</w:t>
      </w:r>
      <w:proofErr w:type="spellEnd"/>
      <w:r w:rsidRPr="00754C98">
        <w:rPr>
          <w:rFonts w:ascii="Cambria" w:eastAsia="Times New Roman" w:hAnsi="Cambria" w:cs="Times New Roman"/>
          <w:b/>
          <w:bCs/>
          <w:sz w:val="24"/>
          <w:szCs w:val="24"/>
          <w:lang w:val="en-US" w:eastAsia="en-US"/>
        </w:rPr>
        <w:t xml:space="preserve"> Online Tutoring</w:t>
      </w:r>
    </w:p>
    <w:p w14:paraId="2F1E3EFD" w14:textId="77777777" w:rsidR="00754C98" w:rsidRPr="00754C98" w:rsidRDefault="00754C98" w:rsidP="00754C98">
      <w:pPr>
        <w:spacing w:after="0" w:line="240" w:lineRule="auto"/>
        <w:ind w:left="426" w:right="71"/>
        <w:jc w:val="both"/>
        <w:rPr>
          <w:rFonts w:ascii="Cambria" w:eastAsia="Cambria" w:hAnsi="Cambria" w:cs="Cambria"/>
          <w:sz w:val="24"/>
          <w:szCs w:val="24"/>
          <w:highlight w:val="white"/>
        </w:rPr>
      </w:pPr>
    </w:p>
    <w:p w14:paraId="3E731F29" w14:textId="30188A34" w:rsidR="00754C98" w:rsidRPr="00C929D5" w:rsidRDefault="00C929D5" w:rsidP="00C929D5">
      <w:pPr>
        <w:pStyle w:val="ListParagraph"/>
        <w:numPr>
          <w:ilvl w:val="3"/>
          <w:numId w:val="1"/>
        </w:numPr>
        <w:spacing w:after="0" w:line="240" w:lineRule="auto"/>
        <w:ind w:left="709" w:right="71" w:hanging="283"/>
        <w:jc w:val="both"/>
        <w:rPr>
          <w:rFonts w:ascii="Cambria" w:eastAsia="Cambria" w:hAnsi="Cambria" w:cs="Cambria"/>
          <w:b/>
          <w:bCs/>
          <w:sz w:val="24"/>
          <w:szCs w:val="24"/>
          <w:highlight w:val="white"/>
        </w:rPr>
      </w:pPr>
      <w:r w:rsidRPr="00C929D5">
        <w:rPr>
          <w:rFonts w:ascii="Cambria" w:eastAsia="Cambria" w:hAnsi="Cambria" w:cs="Cambria"/>
          <w:b/>
          <w:bCs/>
          <w:sz w:val="24"/>
          <w:szCs w:val="24"/>
        </w:rPr>
        <w:t>The Ruang Uji Feature</w:t>
      </w:r>
    </w:p>
    <w:p w14:paraId="10A1479D" w14:textId="2AA05C7C" w:rsidR="00F11127" w:rsidRPr="00F11127" w:rsidRDefault="00F11127" w:rsidP="00C929D5">
      <w:pPr>
        <w:pStyle w:val="ListParagraph"/>
        <w:spacing w:line="240" w:lineRule="auto"/>
        <w:ind w:left="426" w:firstLine="567"/>
        <w:jc w:val="both"/>
        <w:rPr>
          <w:rFonts w:ascii="Cambria" w:eastAsia="Times New Roman" w:hAnsi="Cambria" w:cstheme="majorBidi"/>
          <w:color w:val="000000" w:themeColor="text1"/>
          <w:sz w:val="24"/>
          <w:szCs w:val="24"/>
        </w:rPr>
      </w:pPr>
      <w:r w:rsidRPr="00F11127">
        <w:rPr>
          <w:rFonts w:ascii="Cambria" w:eastAsia="Times New Roman" w:hAnsi="Cambria" w:cstheme="majorBidi"/>
          <w:color w:val="000000" w:themeColor="text1"/>
          <w:sz w:val="24"/>
          <w:szCs w:val="24"/>
        </w:rPr>
        <w:t xml:space="preserve">In addition to assessments integrated into the videos, </w:t>
      </w:r>
      <w:proofErr w:type="spellStart"/>
      <w:r w:rsidRPr="00F11127">
        <w:rPr>
          <w:rFonts w:ascii="Cambria" w:eastAsia="Times New Roman" w:hAnsi="Cambria" w:cstheme="majorBidi"/>
          <w:color w:val="000000" w:themeColor="text1"/>
          <w:sz w:val="24"/>
          <w:szCs w:val="24"/>
        </w:rPr>
        <w:t>Ruangguru</w:t>
      </w:r>
      <w:proofErr w:type="spellEnd"/>
      <w:r w:rsidRPr="00F11127">
        <w:rPr>
          <w:rFonts w:ascii="Cambria" w:eastAsia="Times New Roman" w:hAnsi="Cambria" w:cstheme="majorBidi"/>
          <w:color w:val="000000" w:themeColor="text1"/>
          <w:sz w:val="24"/>
          <w:szCs w:val="24"/>
        </w:rPr>
        <w:t xml:space="preserve"> provides the Ruang Uji feature as a separate question bank that students can access independently. This feature contains thousands of PAI practice questions organized by grade level and topic. Based on observation of the application, the Ruang Uji feature allows students to practice answering questions repeatedly, receive direct responses from the system, and review their understanding of the material independently. This feature supports students in monitoring their own learning progress and identifying topics that still require further practice.</w:t>
      </w:r>
    </w:p>
    <w:p w14:paraId="12365482" w14:textId="77777777" w:rsidR="00FF4DEE" w:rsidRDefault="00FF4DEE" w:rsidP="00C929D5">
      <w:pPr>
        <w:pStyle w:val="ListParagraph"/>
        <w:spacing w:line="240" w:lineRule="auto"/>
        <w:ind w:left="426" w:firstLine="567"/>
        <w:jc w:val="both"/>
        <w:rPr>
          <w:rFonts w:ascii="Cambria" w:eastAsia="Times New Roman" w:hAnsi="Cambria" w:cstheme="majorBidi"/>
          <w:sz w:val="24"/>
          <w:szCs w:val="24"/>
        </w:rPr>
      </w:pPr>
    </w:p>
    <w:p w14:paraId="4FA388B8" w14:textId="77777777" w:rsidR="00FF4DEE" w:rsidRDefault="00FF4DEE" w:rsidP="00C929D5">
      <w:pPr>
        <w:pStyle w:val="ListParagraph"/>
        <w:spacing w:line="240" w:lineRule="auto"/>
        <w:ind w:left="426" w:firstLine="567"/>
        <w:jc w:val="both"/>
        <w:rPr>
          <w:rFonts w:ascii="Cambria" w:eastAsia="Times New Roman" w:hAnsi="Cambria" w:cstheme="majorBidi"/>
          <w:sz w:val="24"/>
          <w:szCs w:val="24"/>
        </w:rPr>
      </w:pPr>
    </w:p>
    <w:p w14:paraId="357DBA4C" w14:textId="77777777" w:rsidR="00FF4DEE" w:rsidRDefault="00FF4DEE" w:rsidP="00C929D5">
      <w:pPr>
        <w:pStyle w:val="ListParagraph"/>
        <w:spacing w:line="240" w:lineRule="auto"/>
        <w:ind w:left="426" w:firstLine="567"/>
        <w:jc w:val="both"/>
        <w:rPr>
          <w:rFonts w:ascii="Cambria" w:eastAsia="Times New Roman" w:hAnsi="Cambria" w:cstheme="majorBidi"/>
          <w:sz w:val="24"/>
          <w:szCs w:val="24"/>
        </w:rPr>
      </w:pPr>
    </w:p>
    <w:p w14:paraId="21A1DBDE" w14:textId="77777777" w:rsidR="00FF4DEE" w:rsidRDefault="00FF4DEE" w:rsidP="00C929D5">
      <w:pPr>
        <w:pStyle w:val="ListParagraph"/>
        <w:spacing w:line="240" w:lineRule="auto"/>
        <w:ind w:left="426" w:firstLine="567"/>
        <w:jc w:val="both"/>
        <w:rPr>
          <w:rFonts w:ascii="Cambria" w:eastAsia="Times New Roman" w:hAnsi="Cambria" w:cstheme="majorBidi"/>
          <w:sz w:val="24"/>
          <w:szCs w:val="24"/>
        </w:rPr>
      </w:pPr>
    </w:p>
    <w:p w14:paraId="1DB9B5DD" w14:textId="77777777" w:rsidR="00FF4DEE" w:rsidRDefault="00FF4DEE" w:rsidP="00C929D5">
      <w:pPr>
        <w:pStyle w:val="ListParagraph"/>
        <w:spacing w:line="240" w:lineRule="auto"/>
        <w:ind w:left="426" w:firstLine="567"/>
        <w:jc w:val="both"/>
        <w:rPr>
          <w:rFonts w:ascii="Cambria" w:eastAsia="Times New Roman" w:hAnsi="Cambria" w:cstheme="majorBidi"/>
          <w:sz w:val="24"/>
          <w:szCs w:val="24"/>
        </w:rPr>
      </w:pPr>
    </w:p>
    <w:p w14:paraId="6345E474" w14:textId="3942146A" w:rsidR="00C929D5" w:rsidRPr="00C929D5" w:rsidRDefault="00DA69CD" w:rsidP="00C929D5">
      <w:pPr>
        <w:pStyle w:val="ListParagraph"/>
        <w:ind w:left="360"/>
        <w:jc w:val="both"/>
        <w:rPr>
          <w:rFonts w:cstheme="majorBidi"/>
        </w:rPr>
      </w:pPr>
      <w:r w:rsidRPr="00A2455A">
        <w:rPr>
          <w:noProof/>
        </w:rPr>
        <w:drawing>
          <wp:anchor distT="0" distB="0" distL="114300" distR="114300" simplePos="0" relativeHeight="251665408" behindDoc="1" locked="0" layoutInCell="1" allowOverlap="1" wp14:anchorId="3A70D9BF" wp14:editId="1E4F659F">
            <wp:simplePos x="0" y="0"/>
            <wp:positionH relativeFrom="column">
              <wp:posOffset>3020695</wp:posOffset>
            </wp:positionH>
            <wp:positionV relativeFrom="paragraph">
              <wp:posOffset>90805</wp:posOffset>
            </wp:positionV>
            <wp:extent cx="1943100" cy="2760980"/>
            <wp:effectExtent l="0" t="0" r="0" b="1270"/>
            <wp:wrapNone/>
            <wp:docPr id="66941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1709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3100" cy="2760980"/>
                    </a:xfrm>
                    <a:prstGeom prst="rect">
                      <a:avLst/>
                    </a:prstGeom>
                  </pic:spPr>
                </pic:pic>
              </a:graphicData>
            </a:graphic>
            <wp14:sizeRelH relativeFrom="margin">
              <wp14:pctWidth>0</wp14:pctWidth>
            </wp14:sizeRelH>
            <wp14:sizeRelV relativeFrom="margin">
              <wp14:pctHeight>0</wp14:pctHeight>
            </wp14:sizeRelV>
          </wp:anchor>
        </w:drawing>
      </w:r>
      <w:r w:rsidRPr="00C929D5">
        <w:rPr>
          <w:noProof/>
        </w:rPr>
        <w:drawing>
          <wp:anchor distT="0" distB="0" distL="114300" distR="114300" simplePos="0" relativeHeight="251664384" behindDoc="1" locked="0" layoutInCell="1" allowOverlap="1" wp14:anchorId="3A393355" wp14:editId="69C75A6A">
            <wp:simplePos x="0" y="0"/>
            <wp:positionH relativeFrom="column">
              <wp:posOffset>1035685</wp:posOffset>
            </wp:positionH>
            <wp:positionV relativeFrom="paragraph">
              <wp:posOffset>78740</wp:posOffset>
            </wp:positionV>
            <wp:extent cx="1985010" cy="2773045"/>
            <wp:effectExtent l="0" t="0" r="0" b="8255"/>
            <wp:wrapNone/>
            <wp:docPr id="1260866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6668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5010" cy="2773045"/>
                    </a:xfrm>
                    <a:prstGeom prst="rect">
                      <a:avLst/>
                    </a:prstGeom>
                  </pic:spPr>
                </pic:pic>
              </a:graphicData>
            </a:graphic>
            <wp14:sizeRelH relativeFrom="margin">
              <wp14:pctWidth>0</wp14:pctWidth>
            </wp14:sizeRelH>
            <wp14:sizeRelV relativeFrom="margin">
              <wp14:pctHeight>0</wp14:pctHeight>
            </wp14:sizeRelV>
          </wp:anchor>
        </w:drawing>
      </w:r>
    </w:p>
    <w:p w14:paraId="0B5A256A" w14:textId="09FC7B9E" w:rsidR="00C929D5" w:rsidRPr="00C929D5" w:rsidRDefault="00C929D5" w:rsidP="00C929D5">
      <w:pPr>
        <w:pStyle w:val="ListParagraph"/>
        <w:ind w:left="360"/>
        <w:jc w:val="both"/>
        <w:rPr>
          <w:rFonts w:cstheme="majorBidi"/>
        </w:rPr>
      </w:pPr>
    </w:p>
    <w:p w14:paraId="1C59FCDF" w14:textId="77777777" w:rsidR="00C929D5" w:rsidRPr="00C929D5" w:rsidRDefault="00C929D5" w:rsidP="00C929D5">
      <w:pPr>
        <w:spacing w:before="100" w:after="20"/>
        <w:ind w:left="360"/>
        <w:jc w:val="center"/>
        <w:rPr>
          <w:rFonts w:cstheme="majorBidi"/>
        </w:rPr>
      </w:pPr>
    </w:p>
    <w:p w14:paraId="4346B4AE" w14:textId="77777777" w:rsidR="00C929D5" w:rsidRPr="00C929D5" w:rsidRDefault="00C929D5" w:rsidP="00C929D5">
      <w:pPr>
        <w:pStyle w:val="ListParagraph"/>
        <w:spacing w:before="120"/>
        <w:ind w:left="360" w:right="71"/>
        <w:jc w:val="both"/>
        <w:rPr>
          <w:rFonts w:cstheme="majorBidi"/>
          <w:b/>
          <w:bCs/>
        </w:rPr>
      </w:pPr>
    </w:p>
    <w:p w14:paraId="0A8E3D7F" w14:textId="77777777" w:rsidR="00C929D5" w:rsidRPr="00C929D5" w:rsidRDefault="00C929D5" w:rsidP="00C929D5">
      <w:pPr>
        <w:pStyle w:val="ListParagraph"/>
        <w:spacing w:before="120"/>
        <w:ind w:left="360" w:right="71"/>
        <w:jc w:val="both"/>
        <w:rPr>
          <w:rFonts w:cstheme="majorBidi"/>
          <w:b/>
          <w:bCs/>
        </w:rPr>
      </w:pPr>
    </w:p>
    <w:p w14:paraId="0DD9F327" w14:textId="77777777" w:rsidR="00C929D5" w:rsidRPr="00C929D5" w:rsidRDefault="00C929D5" w:rsidP="00C929D5">
      <w:pPr>
        <w:pStyle w:val="ListParagraph"/>
        <w:spacing w:before="120"/>
        <w:ind w:left="360" w:right="71"/>
        <w:jc w:val="both"/>
        <w:rPr>
          <w:rFonts w:cstheme="majorBidi"/>
          <w:b/>
          <w:bCs/>
        </w:rPr>
      </w:pPr>
    </w:p>
    <w:p w14:paraId="7D51D39D" w14:textId="77777777" w:rsidR="00C929D5" w:rsidRPr="00C929D5" w:rsidRDefault="00C929D5" w:rsidP="00C929D5">
      <w:pPr>
        <w:pStyle w:val="ListParagraph"/>
        <w:spacing w:before="120"/>
        <w:ind w:left="360" w:right="71"/>
        <w:jc w:val="both"/>
        <w:rPr>
          <w:rFonts w:cstheme="majorBidi"/>
          <w:b/>
          <w:bCs/>
        </w:rPr>
      </w:pPr>
    </w:p>
    <w:p w14:paraId="473033EF" w14:textId="77777777" w:rsidR="00C929D5" w:rsidRPr="00C929D5" w:rsidRDefault="00C929D5" w:rsidP="00C929D5">
      <w:pPr>
        <w:pStyle w:val="ListParagraph"/>
        <w:spacing w:before="120"/>
        <w:ind w:left="360" w:right="71"/>
        <w:jc w:val="both"/>
        <w:rPr>
          <w:rFonts w:cstheme="majorBidi"/>
          <w:b/>
          <w:bCs/>
        </w:rPr>
      </w:pPr>
    </w:p>
    <w:p w14:paraId="1F452215" w14:textId="77777777" w:rsidR="00C929D5" w:rsidRPr="00C929D5" w:rsidRDefault="00C929D5" w:rsidP="00C929D5">
      <w:pPr>
        <w:pStyle w:val="ListParagraph"/>
        <w:spacing w:before="120"/>
        <w:ind w:left="360" w:right="71"/>
        <w:jc w:val="both"/>
        <w:rPr>
          <w:rFonts w:cstheme="majorBidi"/>
          <w:b/>
          <w:bCs/>
        </w:rPr>
      </w:pPr>
    </w:p>
    <w:p w14:paraId="3F131833" w14:textId="77777777" w:rsidR="00C929D5" w:rsidRDefault="00C929D5" w:rsidP="00C929D5">
      <w:pPr>
        <w:spacing w:after="0" w:line="240" w:lineRule="auto"/>
        <w:ind w:left="426" w:right="71"/>
        <w:jc w:val="both"/>
        <w:rPr>
          <w:rFonts w:ascii="Cambria" w:eastAsia="Cambria" w:hAnsi="Cambria" w:cs="Cambria"/>
          <w:sz w:val="24"/>
          <w:szCs w:val="24"/>
          <w:highlight w:val="white"/>
        </w:rPr>
      </w:pPr>
    </w:p>
    <w:p w14:paraId="29EB3BDC" w14:textId="77777777" w:rsidR="00C929D5" w:rsidRDefault="00C929D5" w:rsidP="00C929D5">
      <w:pPr>
        <w:spacing w:after="0" w:line="240" w:lineRule="auto"/>
        <w:ind w:left="426" w:right="71"/>
        <w:jc w:val="both"/>
        <w:rPr>
          <w:rFonts w:ascii="Cambria" w:eastAsia="Cambria" w:hAnsi="Cambria" w:cs="Cambria"/>
          <w:sz w:val="24"/>
          <w:szCs w:val="24"/>
          <w:highlight w:val="white"/>
        </w:rPr>
      </w:pPr>
    </w:p>
    <w:p w14:paraId="06E91C8E" w14:textId="77777777" w:rsidR="008E52D1" w:rsidRDefault="008E52D1" w:rsidP="00C929D5">
      <w:pPr>
        <w:spacing w:after="0" w:line="240" w:lineRule="auto"/>
        <w:ind w:left="426" w:right="71"/>
        <w:jc w:val="both"/>
        <w:rPr>
          <w:rFonts w:ascii="Cambria" w:eastAsia="Cambria" w:hAnsi="Cambria" w:cs="Cambria"/>
          <w:sz w:val="24"/>
          <w:szCs w:val="24"/>
          <w:highlight w:val="white"/>
        </w:rPr>
      </w:pPr>
    </w:p>
    <w:p w14:paraId="1315FCCB" w14:textId="77777777" w:rsidR="008E52D1" w:rsidRDefault="008E52D1" w:rsidP="00C929D5">
      <w:pPr>
        <w:spacing w:after="0" w:line="240" w:lineRule="auto"/>
        <w:ind w:left="426" w:right="71"/>
        <w:jc w:val="both"/>
        <w:rPr>
          <w:rFonts w:ascii="Cambria" w:eastAsia="Cambria" w:hAnsi="Cambria" w:cs="Cambria"/>
          <w:sz w:val="24"/>
          <w:szCs w:val="24"/>
          <w:highlight w:val="white"/>
        </w:rPr>
      </w:pPr>
    </w:p>
    <w:p w14:paraId="0690682C" w14:textId="77777777" w:rsidR="00C929D5" w:rsidRDefault="00C929D5" w:rsidP="00C929D5">
      <w:pPr>
        <w:spacing w:after="0" w:line="240" w:lineRule="auto"/>
        <w:ind w:left="426" w:right="71"/>
        <w:jc w:val="both"/>
        <w:rPr>
          <w:rFonts w:ascii="Cambria" w:eastAsia="Cambria" w:hAnsi="Cambria" w:cs="Cambria"/>
          <w:sz w:val="24"/>
          <w:szCs w:val="24"/>
          <w:highlight w:val="white"/>
        </w:rPr>
      </w:pPr>
    </w:p>
    <w:p w14:paraId="7DB6E3F1" w14:textId="6C53A157" w:rsidR="00C929D5" w:rsidRDefault="00C929D5" w:rsidP="000D3530">
      <w:pPr>
        <w:spacing w:before="240" w:after="240" w:line="240" w:lineRule="auto"/>
        <w:ind w:left="426" w:right="71"/>
        <w:jc w:val="center"/>
        <w:rPr>
          <w:rFonts w:ascii="Cambria" w:eastAsia="Cambria" w:hAnsi="Cambria" w:cs="Cambria"/>
          <w:sz w:val="24"/>
          <w:szCs w:val="24"/>
          <w:highlight w:val="white"/>
        </w:rPr>
      </w:pPr>
      <w:r w:rsidRPr="00C929D5">
        <w:rPr>
          <w:rFonts w:ascii="Cambria" w:eastAsia="Times New Roman" w:hAnsi="Cambria" w:cstheme="majorBidi"/>
          <w:b/>
          <w:bCs/>
          <w:sz w:val="24"/>
          <w:szCs w:val="24"/>
        </w:rPr>
        <w:t>Figure 2. Example of Practice Exercises/Quizzes in Ruang Uji</w:t>
      </w:r>
    </w:p>
    <w:p w14:paraId="70BD5B7F" w14:textId="02713838" w:rsidR="00C929D5" w:rsidRPr="00C929D5" w:rsidRDefault="00C929D5" w:rsidP="00C929D5">
      <w:pPr>
        <w:pStyle w:val="ListParagraph"/>
        <w:numPr>
          <w:ilvl w:val="3"/>
          <w:numId w:val="1"/>
        </w:numPr>
        <w:spacing w:after="0" w:line="240" w:lineRule="auto"/>
        <w:ind w:left="709" w:right="71" w:hanging="283"/>
        <w:jc w:val="both"/>
        <w:rPr>
          <w:rFonts w:ascii="Cambria" w:eastAsia="Cambria" w:hAnsi="Cambria" w:cs="Cambria"/>
          <w:b/>
          <w:bCs/>
          <w:sz w:val="24"/>
          <w:szCs w:val="24"/>
          <w:highlight w:val="white"/>
        </w:rPr>
      </w:pPr>
      <w:r w:rsidRPr="00C929D5">
        <w:rPr>
          <w:rFonts w:ascii="Cambria" w:eastAsia="Cambria" w:hAnsi="Cambria" w:cs="Cambria"/>
          <w:b/>
          <w:bCs/>
          <w:sz w:val="24"/>
          <w:szCs w:val="24"/>
        </w:rPr>
        <w:t>Infographic Summary</w:t>
      </w:r>
    </w:p>
    <w:p w14:paraId="06D9F371" w14:textId="5F5F0F14" w:rsidR="004D47B5" w:rsidRPr="004D47B5" w:rsidRDefault="004D47B5" w:rsidP="00C929D5">
      <w:pPr>
        <w:pStyle w:val="ListParagraph"/>
        <w:spacing w:after="0" w:line="240" w:lineRule="auto"/>
        <w:ind w:left="426" w:right="71" w:firstLine="567"/>
        <w:jc w:val="both"/>
        <w:rPr>
          <w:rFonts w:ascii="Cambria" w:eastAsia="Times New Roman" w:hAnsi="Cambria" w:cstheme="majorBidi"/>
          <w:color w:val="000000" w:themeColor="text1"/>
          <w:sz w:val="24"/>
          <w:szCs w:val="24"/>
        </w:rPr>
      </w:pPr>
      <w:r w:rsidRPr="004D47B5">
        <w:rPr>
          <w:rFonts w:ascii="Cambria" w:eastAsia="Times New Roman" w:hAnsi="Cambria" w:cstheme="majorBidi"/>
          <w:color w:val="000000" w:themeColor="text1"/>
          <w:sz w:val="24"/>
          <w:szCs w:val="24"/>
        </w:rPr>
        <w:t xml:space="preserve">Each lesson in the </w:t>
      </w:r>
      <w:proofErr w:type="spellStart"/>
      <w:r w:rsidRPr="004D47B5">
        <w:rPr>
          <w:rFonts w:ascii="Cambria" w:eastAsia="Times New Roman" w:hAnsi="Cambria" w:cstheme="majorBidi"/>
          <w:color w:val="000000" w:themeColor="text1"/>
          <w:sz w:val="24"/>
          <w:szCs w:val="24"/>
        </w:rPr>
        <w:t>Ruangngaji</w:t>
      </w:r>
      <w:proofErr w:type="spellEnd"/>
      <w:r w:rsidRPr="004D47B5">
        <w:rPr>
          <w:rFonts w:ascii="Cambria" w:eastAsia="Times New Roman" w:hAnsi="Cambria" w:cstheme="majorBidi"/>
          <w:color w:val="000000" w:themeColor="text1"/>
          <w:sz w:val="24"/>
          <w:szCs w:val="24"/>
        </w:rPr>
        <w:t xml:space="preserve"> feature is accompanied by an infographic summary that presents the key points of the instructional video in a concise and visually appealing format. The infographic summaries help students review the main ideas of each topic after watching the learning videos. Based on documentation of the application features, the summaries are designed with visual elements, short explanations, and structured content, making them easier for students to revisit when they need to strengthen their understanding of PAI materials.</w:t>
      </w:r>
    </w:p>
    <w:p w14:paraId="19DEA0DD" w14:textId="0B6D800C" w:rsidR="00C929D5" w:rsidRPr="00A2455A" w:rsidRDefault="00FF4DEE" w:rsidP="00C929D5">
      <w:pPr>
        <w:pStyle w:val="ListParagraph"/>
        <w:spacing w:before="120"/>
        <w:ind w:left="360" w:right="71"/>
        <w:jc w:val="both"/>
        <w:rPr>
          <w:rFonts w:cstheme="majorBidi"/>
        </w:rPr>
      </w:pPr>
      <w:r w:rsidRPr="00A2455A">
        <w:rPr>
          <w:noProof/>
        </w:rPr>
        <w:drawing>
          <wp:anchor distT="0" distB="0" distL="114300" distR="114300" simplePos="0" relativeHeight="251667456" behindDoc="1" locked="0" layoutInCell="1" allowOverlap="1" wp14:anchorId="2AFBB9E0" wp14:editId="7CF83FB3">
            <wp:simplePos x="0" y="0"/>
            <wp:positionH relativeFrom="margin">
              <wp:posOffset>1824356</wp:posOffset>
            </wp:positionH>
            <wp:positionV relativeFrom="paragraph">
              <wp:posOffset>111760</wp:posOffset>
            </wp:positionV>
            <wp:extent cx="2185326" cy="3710940"/>
            <wp:effectExtent l="0" t="0" r="5715" b="3810"/>
            <wp:wrapNone/>
            <wp:docPr id="56394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49460" name=""/>
                    <pic:cNvPicPr/>
                  </pic:nvPicPr>
                  <pic:blipFill>
                    <a:blip r:embed="rId19">
                      <a:extLst>
                        <a:ext uri="{28A0092B-C50C-407E-A947-70E740481C1C}">
                          <a14:useLocalDpi xmlns:a14="http://schemas.microsoft.com/office/drawing/2010/main" val="0"/>
                        </a:ext>
                      </a:extLst>
                    </a:blip>
                    <a:stretch>
                      <a:fillRect/>
                    </a:stretch>
                  </pic:blipFill>
                  <pic:spPr>
                    <a:xfrm>
                      <a:off x="0" y="0"/>
                      <a:ext cx="2190112" cy="3719067"/>
                    </a:xfrm>
                    <a:prstGeom prst="rect">
                      <a:avLst/>
                    </a:prstGeom>
                  </pic:spPr>
                </pic:pic>
              </a:graphicData>
            </a:graphic>
            <wp14:sizeRelH relativeFrom="margin">
              <wp14:pctWidth>0</wp14:pctWidth>
            </wp14:sizeRelH>
            <wp14:sizeRelV relativeFrom="margin">
              <wp14:pctHeight>0</wp14:pctHeight>
            </wp14:sizeRelV>
          </wp:anchor>
        </w:drawing>
      </w:r>
    </w:p>
    <w:p w14:paraId="0CCDF702" w14:textId="5F422897" w:rsidR="00C929D5" w:rsidRPr="00A2455A" w:rsidRDefault="00C929D5" w:rsidP="00C929D5">
      <w:pPr>
        <w:pStyle w:val="ListParagraph"/>
        <w:spacing w:before="120"/>
        <w:ind w:left="360" w:right="71"/>
        <w:jc w:val="both"/>
        <w:rPr>
          <w:rFonts w:cstheme="majorBidi"/>
        </w:rPr>
      </w:pPr>
    </w:p>
    <w:p w14:paraId="5489CE75" w14:textId="2A201476" w:rsidR="00C929D5" w:rsidRPr="00A2455A" w:rsidRDefault="00C929D5" w:rsidP="00C929D5">
      <w:pPr>
        <w:pStyle w:val="ListParagraph"/>
        <w:spacing w:before="120"/>
        <w:ind w:left="360" w:right="71"/>
        <w:jc w:val="both"/>
        <w:rPr>
          <w:rFonts w:cstheme="majorBidi"/>
        </w:rPr>
      </w:pPr>
    </w:p>
    <w:p w14:paraId="45C24A53" w14:textId="0BC08DFC" w:rsidR="00C929D5" w:rsidRPr="00A2455A" w:rsidRDefault="00C929D5" w:rsidP="00C929D5">
      <w:pPr>
        <w:pStyle w:val="ListParagraph"/>
        <w:spacing w:before="120"/>
        <w:ind w:left="360" w:right="71"/>
        <w:jc w:val="both"/>
        <w:rPr>
          <w:rFonts w:cstheme="majorBidi"/>
        </w:rPr>
      </w:pPr>
    </w:p>
    <w:p w14:paraId="49AA3A9A" w14:textId="3E4C2D2A" w:rsidR="00C929D5" w:rsidRPr="00A2455A" w:rsidRDefault="00C929D5" w:rsidP="00C929D5">
      <w:pPr>
        <w:pStyle w:val="ListParagraph"/>
        <w:spacing w:before="120"/>
        <w:ind w:left="360" w:right="71"/>
        <w:jc w:val="both"/>
        <w:rPr>
          <w:rFonts w:cstheme="majorBidi"/>
        </w:rPr>
      </w:pPr>
    </w:p>
    <w:p w14:paraId="229707BB" w14:textId="54288B44" w:rsidR="00C929D5" w:rsidRPr="00A2455A" w:rsidRDefault="00C929D5" w:rsidP="00C929D5">
      <w:pPr>
        <w:pStyle w:val="ListParagraph"/>
        <w:spacing w:before="120"/>
        <w:ind w:left="360" w:right="71"/>
        <w:jc w:val="both"/>
        <w:rPr>
          <w:rFonts w:cstheme="majorBidi"/>
        </w:rPr>
      </w:pPr>
    </w:p>
    <w:p w14:paraId="171045FC" w14:textId="77777777" w:rsidR="00C929D5" w:rsidRPr="00A2455A" w:rsidRDefault="00C929D5" w:rsidP="00C929D5">
      <w:pPr>
        <w:pStyle w:val="ListParagraph"/>
        <w:spacing w:before="120"/>
        <w:ind w:left="360" w:right="71"/>
        <w:jc w:val="both"/>
        <w:rPr>
          <w:rFonts w:cstheme="majorBidi"/>
        </w:rPr>
      </w:pPr>
    </w:p>
    <w:p w14:paraId="66599F19" w14:textId="77777777" w:rsidR="00C929D5" w:rsidRPr="00A2455A" w:rsidRDefault="00C929D5" w:rsidP="00C929D5">
      <w:pPr>
        <w:pStyle w:val="ListParagraph"/>
        <w:spacing w:before="120"/>
        <w:ind w:left="360" w:right="71"/>
        <w:jc w:val="both"/>
        <w:rPr>
          <w:rFonts w:cstheme="majorBidi"/>
        </w:rPr>
      </w:pPr>
    </w:p>
    <w:p w14:paraId="17397806" w14:textId="77777777" w:rsidR="00C929D5" w:rsidRPr="00A2455A" w:rsidRDefault="00C929D5" w:rsidP="00C929D5">
      <w:pPr>
        <w:pStyle w:val="ListParagraph"/>
        <w:spacing w:before="120"/>
        <w:ind w:left="360" w:right="71"/>
        <w:jc w:val="both"/>
        <w:rPr>
          <w:rFonts w:cstheme="majorBidi"/>
        </w:rPr>
      </w:pPr>
    </w:p>
    <w:p w14:paraId="12BE2DE9" w14:textId="77777777" w:rsidR="00C929D5" w:rsidRPr="00A2455A" w:rsidRDefault="00C929D5" w:rsidP="00C929D5">
      <w:pPr>
        <w:pStyle w:val="ListParagraph"/>
        <w:spacing w:before="120"/>
        <w:ind w:left="360" w:right="71"/>
        <w:jc w:val="both"/>
        <w:rPr>
          <w:rFonts w:cstheme="majorBidi"/>
        </w:rPr>
      </w:pPr>
    </w:p>
    <w:p w14:paraId="24F4122C" w14:textId="77777777" w:rsidR="00C929D5" w:rsidRPr="00A2455A" w:rsidRDefault="00C929D5" w:rsidP="00C929D5">
      <w:pPr>
        <w:pStyle w:val="ListParagraph"/>
        <w:spacing w:before="120"/>
        <w:ind w:left="360" w:right="71"/>
        <w:jc w:val="both"/>
        <w:rPr>
          <w:rFonts w:cstheme="majorBidi"/>
        </w:rPr>
      </w:pPr>
    </w:p>
    <w:p w14:paraId="4269E33F" w14:textId="77777777" w:rsidR="00C929D5" w:rsidRPr="00A2455A" w:rsidRDefault="00C929D5" w:rsidP="00C929D5">
      <w:pPr>
        <w:pStyle w:val="ListParagraph"/>
        <w:spacing w:before="120"/>
        <w:ind w:left="360" w:right="71"/>
        <w:jc w:val="both"/>
        <w:rPr>
          <w:rFonts w:cstheme="majorBidi"/>
        </w:rPr>
      </w:pPr>
    </w:p>
    <w:p w14:paraId="733FC9BE" w14:textId="77777777" w:rsidR="00C929D5" w:rsidRPr="00A2455A" w:rsidRDefault="00C929D5" w:rsidP="00C929D5">
      <w:pPr>
        <w:pStyle w:val="ListParagraph"/>
        <w:spacing w:before="120"/>
        <w:ind w:left="360" w:right="71"/>
        <w:jc w:val="both"/>
        <w:rPr>
          <w:rFonts w:cstheme="majorBidi"/>
        </w:rPr>
      </w:pPr>
    </w:p>
    <w:p w14:paraId="712B6067" w14:textId="77777777" w:rsidR="00C929D5" w:rsidRPr="00A2455A" w:rsidRDefault="00C929D5" w:rsidP="00C929D5">
      <w:pPr>
        <w:pStyle w:val="ListParagraph"/>
        <w:spacing w:before="120"/>
        <w:ind w:left="360" w:right="71"/>
        <w:jc w:val="both"/>
        <w:rPr>
          <w:rFonts w:cstheme="majorBidi"/>
        </w:rPr>
      </w:pPr>
    </w:p>
    <w:p w14:paraId="281E3C4A" w14:textId="77777777" w:rsidR="00C929D5" w:rsidRDefault="00C929D5" w:rsidP="00C929D5">
      <w:pPr>
        <w:pStyle w:val="ListParagraph"/>
        <w:spacing w:before="120"/>
        <w:ind w:left="360" w:right="71"/>
        <w:jc w:val="both"/>
        <w:rPr>
          <w:rFonts w:cstheme="majorBidi"/>
        </w:rPr>
      </w:pPr>
    </w:p>
    <w:p w14:paraId="41AF7BFE" w14:textId="77777777" w:rsidR="00C929D5" w:rsidRDefault="00C929D5" w:rsidP="00C929D5">
      <w:pPr>
        <w:pStyle w:val="ListParagraph"/>
        <w:spacing w:before="120"/>
        <w:ind w:left="360" w:right="71"/>
        <w:jc w:val="both"/>
        <w:rPr>
          <w:rFonts w:cstheme="majorBidi"/>
        </w:rPr>
      </w:pPr>
    </w:p>
    <w:p w14:paraId="7216515E" w14:textId="77777777" w:rsidR="00C929D5" w:rsidRDefault="00C929D5" w:rsidP="00C929D5">
      <w:pPr>
        <w:pStyle w:val="ListParagraph"/>
        <w:spacing w:before="120"/>
        <w:ind w:left="360" w:right="71"/>
        <w:jc w:val="both"/>
        <w:rPr>
          <w:rFonts w:cstheme="majorBidi"/>
        </w:rPr>
      </w:pPr>
    </w:p>
    <w:p w14:paraId="709619DC" w14:textId="77777777" w:rsidR="00FF4DEE" w:rsidRDefault="00FF4DEE" w:rsidP="00FF4DEE">
      <w:pPr>
        <w:spacing w:after="0" w:line="240" w:lineRule="auto"/>
        <w:ind w:right="71"/>
        <w:rPr>
          <w:rFonts w:ascii="Cambria" w:eastAsia="Times New Roman" w:hAnsi="Cambria" w:cstheme="majorBidi"/>
          <w:b/>
          <w:bCs/>
          <w:sz w:val="24"/>
          <w:szCs w:val="24"/>
        </w:rPr>
      </w:pPr>
    </w:p>
    <w:p w14:paraId="44DF1119" w14:textId="77777777" w:rsidR="000D3530" w:rsidRDefault="000D3530" w:rsidP="000D3530">
      <w:pPr>
        <w:spacing w:after="120" w:line="240" w:lineRule="auto"/>
        <w:ind w:right="71"/>
        <w:rPr>
          <w:rFonts w:ascii="Cambria" w:eastAsia="Times New Roman" w:hAnsi="Cambria" w:cstheme="majorBidi"/>
          <w:b/>
          <w:bCs/>
          <w:sz w:val="24"/>
          <w:szCs w:val="24"/>
        </w:rPr>
      </w:pPr>
    </w:p>
    <w:p w14:paraId="274B7FC2" w14:textId="77777777" w:rsidR="00FF4DEE" w:rsidRDefault="00FF4DEE" w:rsidP="00FF4DEE">
      <w:pPr>
        <w:spacing w:after="0" w:line="240" w:lineRule="auto"/>
        <w:ind w:right="71"/>
        <w:rPr>
          <w:rFonts w:ascii="Cambria" w:eastAsia="Times New Roman" w:hAnsi="Cambria" w:cstheme="majorBidi"/>
          <w:b/>
          <w:bCs/>
          <w:sz w:val="24"/>
          <w:szCs w:val="24"/>
        </w:rPr>
      </w:pPr>
    </w:p>
    <w:p w14:paraId="68E536D1" w14:textId="1670FDDC" w:rsidR="00C929D5" w:rsidRDefault="00C929D5" w:rsidP="00FF4DEE">
      <w:pPr>
        <w:spacing w:before="120" w:after="0" w:line="240" w:lineRule="auto"/>
        <w:ind w:right="71"/>
        <w:jc w:val="center"/>
        <w:rPr>
          <w:rFonts w:ascii="Cambria" w:eastAsia="Cambria" w:hAnsi="Cambria" w:cs="Cambria"/>
          <w:sz w:val="24"/>
          <w:szCs w:val="24"/>
          <w:highlight w:val="white"/>
        </w:rPr>
      </w:pPr>
      <w:r w:rsidRPr="00C929D5">
        <w:rPr>
          <w:rFonts w:ascii="Cambria" w:eastAsia="Times New Roman" w:hAnsi="Cambria" w:cstheme="majorBidi"/>
          <w:b/>
          <w:bCs/>
          <w:sz w:val="24"/>
          <w:szCs w:val="24"/>
        </w:rPr>
        <w:t xml:space="preserve">Figure 3. Infographic Summary in </w:t>
      </w:r>
      <w:proofErr w:type="spellStart"/>
      <w:r w:rsidRPr="00C929D5">
        <w:rPr>
          <w:rFonts w:ascii="Cambria" w:eastAsia="Times New Roman" w:hAnsi="Cambria" w:cstheme="majorBidi"/>
          <w:b/>
          <w:bCs/>
          <w:sz w:val="24"/>
          <w:szCs w:val="24"/>
        </w:rPr>
        <w:t>Ruangguru</w:t>
      </w:r>
      <w:proofErr w:type="spellEnd"/>
      <w:r w:rsidRPr="00C929D5">
        <w:rPr>
          <w:rFonts w:ascii="Cambria" w:eastAsia="Times New Roman" w:hAnsi="Cambria" w:cstheme="majorBidi"/>
          <w:b/>
          <w:bCs/>
          <w:sz w:val="24"/>
          <w:szCs w:val="24"/>
        </w:rPr>
        <w:t xml:space="preserve"> Online Tutoring</w:t>
      </w:r>
    </w:p>
    <w:p w14:paraId="336630C8" w14:textId="333093F3" w:rsidR="00C929D5" w:rsidRPr="00C929D5" w:rsidRDefault="00C929D5" w:rsidP="00C929D5">
      <w:pPr>
        <w:pStyle w:val="ListParagraph"/>
        <w:numPr>
          <w:ilvl w:val="3"/>
          <w:numId w:val="1"/>
        </w:numPr>
        <w:spacing w:after="0" w:line="240" w:lineRule="auto"/>
        <w:ind w:left="709" w:right="71" w:hanging="283"/>
        <w:jc w:val="both"/>
        <w:rPr>
          <w:rFonts w:ascii="Cambria" w:eastAsia="Cambria" w:hAnsi="Cambria" w:cs="Cambria"/>
          <w:b/>
          <w:bCs/>
          <w:sz w:val="24"/>
          <w:szCs w:val="24"/>
          <w:highlight w:val="white"/>
        </w:rPr>
      </w:pPr>
      <w:r w:rsidRPr="00C929D5">
        <w:rPr>
          <w:rFonts w:ascii="Cambria" w:eastAsia="Cambria" w:hAnsi="Cambria" w:cs="Cambria"/>
          <w:b/>
          <w:bCs/>
          <w:sz w:val="24"/>
          <w:szCs w:val="24"/>
        </w:rPr>
        <w:t>Learning Progress Report</w:t>
      </w:r>
    </w:p>
    <w:p w14:paraId="270B49C5" w14:textId="77777777" w:rsidR="004D47B5" w:rsidRPr="004D47B5" w:rsidRDefault="004D47B5" w:rsidP="004D47B5">
      <w:pPr>
        <w:pStyle w:val="ListParagraph"/>
        <w:spacing w:before="120" w:line="240" w:lineRule="auto"/>
        <w:ind w:left="426" w:right="71" w:firstLine="567"/>
        <w:jc w:val="both"/>
        <w:rPr>
          <w:rFonts w:ascii="Cambria" w:eastAsia="Times New Roman" w:hAnsi="Cambria" w:cstheme="majorBidi"/>
          <w:color w:val="000000" w:themeColor="text1"/>
          <w:sz w:val="24"/>
          <w:szCs w:val="24"/>
        </w:rPr>
      </w:pPr>
      <w:proofErr w:type="spellStart"/>
      <w:r w:rsidRPr="004D47B5">
        <w:rPr>
          <w:rFonts w:ascii="Cambria" w:eastAsia="Times New Roman" w:hAnsi="Cambria" w:cstheme="majorBidi"/>
          <w:color w:val="000000" w:themeColor="text1"/>
          <w:sz w:val="24"/>
          <w:szCs w:val="24"/>
        </w:rPr>
        <w:t>Ruangguru</w:t>
      </w:r>
      <w:proofErr w:type="spellEnd"/>
      <w:r w:rsidRPr="004D47B5">
        <w:rPr>
          <w:rFonts w:ascii="Cambria" w:eastAsia="Times New Roman" w:hAnsi="Cambria" w:cstheme="majorBidi"/>
          <w:color w:val="000000" w:themeColor="text1"/>
          <w:sz w:val="24"/>
          <w:szCs w:val="24"/>
        </w:rPr>
        <w:t xml:space="preserve"> provides a Learning Progress Report feature that periodically compiles students’ learning activity data, including the number of instructional videos watched, practice questions completed, total learning time, and average scores for each chapter. Based on interviews with parents, this feature helps them monitor their children’s learning activities without having to accompany them directly throughout the learning process. The report also provides students and parents with an overview of learning progress, making it easier to identify completed activities and areas that still require improvement.</w:t>
      </w:r>
    </w:p>
    <w:p w14:paraId="4BBF063E" w14:textId="172921A5" w:rsidR="004D47B5" w:rsidRPr="004D47B5" w:rsidRDefault="004D47B5" w:rsidP="004D47B5">
      <w:pPr>
        <w:pStyle w:val="ListParagraph"/>
        <w:spacing w:before="120" w:line="240" w:lineRule="auto"/>
        <w:ind w:left="426" w:right="71" w:firstLine="567"/>
        <w:jc w:val="both"/>
        <w:rPr>
          <w:rFonts w:ascii="Cambria" w:eastAsia="Times New Roman" w:hAnsi="Cambria" w:cstheme="majorBidi"/>
          <w:color w:val="000000" w:themeColor="text1"/>
          <w:sz w:val="24"/>
          <w:szCs w:val="24"/>
        </w:rPr>
      </w:pPr>
    </w:p>
    <w:p w14:paraId="084AB39B" w14:textId="77777777" w:rsidR="00C929D5" w:rsidRDefault="00C929D5" w:rsidP="00C929D5">
      <w:pPr>
        <w:pStyle w:val="ListParagraph"/>
        <w:spacing w:before="100" w:after="20"/>
        <w:ind w:left="360"/>
        <w:jc w:val="center"/>
        <w:rPr>
          <w:rFonts w:cstheme="majorBidi"/>
          <w:lang w:val="sv-SE"/>
        </w:rPr>
      </w:pPr>
      <w:r w:rsidRPr="00A2455A">
        <w:rPr>
          <w:noProof/>
        </w:rPr>
        <w:drawing>
          <wp:inline distT="0" distB="0" distL="0" distR="0" wp14:anchorId="1DE09D03" wp14:editId="677026FB">
            <wp:extent cx="2305050" cy="3684270"/>
            <wp:effectExtent l="0" t="0" r="0" b="0"/>
            <wp:docPr id="103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20" cstate="print"/>
                    <a:srcRect/>
                    <a:stretch/>
                  </pic:blipFill>
                  <pic:spPr>
                    <a:xfrm>
                      <a:off x="0" y="0"/>
                      <a:ext cx="2320846" cy="3709517"/>
                    </a:xfrm>
                    <a:prstGeom prst="rect">
                      <a:avLst/>
                    </a:prstGeom>
                  </pic:spPr>
                </pic:pic>
              </a:graphicData>
            </a:graphic>
          </wp:inline>
        </w:drawing>
      </w:r>
    </w:p>
    <w:p w14:paraId="5B7ED4D1" w14:textId="77777777" w:rsidR="00C929D5" w:rsidRPr="00592DD5" w:rsidRDefault="00C929D5" w:rsidP="00C929D5">
      <w:pPr>
        <w:pStyle w:val="ListParagraph"/>
        <w:spacing w:after="0"/>
        <w:ind w:left="360"/>
        <w:jc w:val="center"/>
        <w:rPr>
          <w:rFonts w:cstheme="majorBidi"/>
          <w:sz w:val="12"/>
          <w:szCs w:val="12"/>
          <w:lang w:val="sv-SE"/>
        </w:rPr>
      </w:pPr>
    </w:p>
    <w:p w14:paraId="2F283781" w14:textId="77777777" w:rsidR="000D3530" w:rsidRPr="000D3530" w:rsidRDefault="000D3530" w:rsidP="000D3530">
      <w:pPr>
        <w:pStyle w:val="ListParagraph"/>
        <w:spacing w:after="0"/>
        <w:ind w:left="360"/>
        <w:jc w:val="center"/>
        <w:rPr>
          <w:rFonts w:ascii="Cambria" w:eastAsia="Times New Roman" w:hAnsi="Cambria" w:cstheme="majorBidi"/>
          <w:b/>
          <w:bCs/>
          <w:sz w:val="12"/>
          <w:szCs w:val="12"/>
        </w:rPr>
      </w:pPr>
    </w:p>
    <w:p w14:paraId="134227CE" w14:textId="6AAAA27B" w:rsidR="00C929D5" w:rsidRDefault="00C929D5" w:rsidP="000D3530">
      <w:pPr>
        <w:pStyle w:val="ListParagraph"/>
        <w:spacing w:after="0"/>
        <w:ind w:left="360"/>
        <w:jc w:val="center"/>
        <w:rPr>
          <w:rFonts w:ascii="Cambria" w:eastAsia="Times New Roman" w:hAnsi="Cambria" w:cstheme="majorBidi"/>
          <w:b/>
          <w:bCs/>
          <w:sz w:val="24"/>
          <w:szCs w:val="24"/>
        </w:rPr>
      </w:pPr>
      <w:r w:rsidRPr="00C929D5">
        <w:rPr>
          <w:rFonts w:ascii="Cambria" w:eastAsia="Times New Roman" w:hAnsi="Cambria" w:cstheme="majorBidi"/>
          <w:b/>
          <w:bCs/>
          <w:sz w:val="24"/>
          <w:szCs w:val="24"/>
        </w:rPr>
        <w:t xml:space="preserve">Figure 4. Learning Progress Report in </w:t>
      </w:r>
      <w:proofErr w:type="spellStart"/>
      <w:r w:rsidRPr="00C929D5">
        <w:rPr>
          <w:rFonts w:ascii="Cambria" w:eastAsia="Times New Roman" w:hAnsi="Cambria" w:cstheme="majorBidi"/>
          <w:b/>
          <w:bCs/>
          <w:sz w:val="24"/>
          <w:szCs w:val="24"/>
        </w:rPr>
        <w:t>Ruangguru</w:t>
      </w:r>
      <w:proofErr w:type="spellEnd"/>
      <w:r w:rsidRPr="00C929D5">
        <w:rPr>
          <w:rFonts w:ascii="Cambria" w:eastAsia="Times New Roman" w:hAnsi="Cambria" w:cstheme="majorBidi"/>
          <w:b/>
          <w:bCs/>
          <w:sz w:val="24"/>
          <w:szCs w:val="24"/>
        </w:rPr>
        <w:t xml:space="preserve"> Online Tutoring</w:t>
      </w:r>
    </w:p>
    <w:p w14:paraId="5B2EBD46" w14:textId="77777777" w:rsidR="00C929D5" w:rsidRPr="00C929D5" w:rsidRDefault="00C929D5" w:rsidP="00C929D5">
      <w:pPr>
        <w:pStyle w:val="ListParagraph"/>
        <w:spacing w:before="100" w:after="20"/>
        <w:ind w:left="360"/>
        <w:jc w:val="center"/>
        <w:rPr>
          <w:rFonts w:ascii="Cambria" w:hAnsi="Cambria" w:cstheme="majorBidi"/>
          <w:sz w:val="12"/>
          <w:szCs w:val="12"/>
        </w:rPr>
      </w:pPr>
    </w:p>
    <w:p w14:paraId="10586B89" w14:textId="77777777" w:rsidR="00402FA9" w:rsidRPr="00402FA9" w:rsidRDefault="00402FA9" w:rsidP="00402FA9">
      <w:pPr>
        <w:pStyle w:val="ListParagraph"/>
        <w:spacing w:after="240" w:line="240" w:lineRule="auto"/>
        <w:ind w:left="426" w:right="71" w:firstLine="567"/>
        <w:jc w:val="both"/>
        <w:rPr>
          <w:rFonts w:asciiTheme="minorHAnsi" w:eastAsia="Times New Roman" w:hAnsiTheme="minorHAnsi" w:cstheme="majorBidi"/>
          <w:color w:val="000000" w:themeColor="text1"/>
          <w:sz w:val="24"/>
          <w:szCs w:val="24"/>
        </w:rPr>
      </w:pPr>
      <w:r w:rsidRPr="00402FA9">
        <w:rPr>
          <w:rFonts w:asciiTheme="minorHAnsi" w:eastAsia="Times New Roman" w:hAnsiTheme="minorHAnsi" w:cstheme="majorBidi"/>
          <w:color w:val="000000" w:themeColor="text1"/>
          <w:sz w:val="24"/>
          <w:szCs w:val="24"/>
        </w:rPr>
        <w:t xml:space="preserve">This finding was supported by documentation of students’ scores, which showed an increasing trend after using the platform. However, the score data in this study served only as supporting data to strengthen the qualitative findings and were not </w:t>
      </w:r>
      <w:proofErr w:type="spellStart"/>
      <w:r w:rsidRPr="00402FA9">
        <w:rPr>
          <w:rFonts w:asciiTheme="minorHAnsi" w:eastAsia="Times New Roman" w:hAnsiTheme="minorHAnsi" w:cstheme="majorBidi"/>
          <w:color w:val="000000" w:themeColor="text1"/>
          <w:sz w:val="24"/>
          <w:szCs w:val="24"/>
        </w:rPr>
        <w:t>analyzed</w:t>
      </w:r>
      <w:proofErr w:type="spellEnd"/>
      <w:r w:rsidRPr="00402FA9">
        <w:rPr>
          <w:rFonts w:asciiTheme="minorHAnsi" w:eastAsia="Times New Roman" w:hAnsiTheme="minorHAnsi" w:cstheme="majorBidi"/>
          <w:color w:val="000000" w:themeColor="text1"/>
          <w:sz w:val="24"/>
          <w:szCs w:val="24"/>
        </w:rPr>
        <w:t xml:space="preserve"> as a quantitative measure of learning effectiveness.</w:t>
      </w:r>
    </w:p>
    <w:p w14:paraId="020B5682" w14:textId="77777777" w:rsidR="00C929D5" w:rsidRDefault="00C929D5" w:rsidP="00003721">
      <w:pPr>
        <w:spacing w:after="120" w:line="240" w:lineRule="auto"/>
        <w:ind w:left="426"/>
        <w:jc w:val="center"/>
        <w:rPr>
          <w:rFonts w:asciiTheme="minorHAnsi" w:eastAsia="Times New Roman" w:hAnsiTheme="minorHAnsi" w:cstheme="majorBidi"/>
          <w:b/>
          <w:bCs/>
          <w:sz w:val="24"/>
          <w:szCs w:val="24"/>
        </w:rPr>
      </w:pPr>
      <w:r w:rsidRPr="00EC197B">
        <w:rPr>
          <w:rFonts w:asciiTheme="minorHAnsi" w:eastAsia="Times New Roman" w:hAnsiTheme="minorHAnsi" w:cstheme="majorBidi"/>
          <w:b/>
          <w:bCs/>
          <w:sz w:val="24"/>
          <w:szCs w:val="24"/>
        </w:rPr>
        <w:t xml:space="preserve">Table 1. Improvement in PAI Learning Outcomes of MI Al-Azhar </w:t>
      </w:r>
      <w:proofErr w:type="spellStart"/>
      <w:r w:rsidRPr="00EC197B">
        <w:rPr>
          <w:rFonts w:asciiTheme="minorHAnsi" w:eastAsia="Times New Roman" w:hAnsiTheme="minorHAnsi" w:cstheme="majorBidi"/>
          <w:b/>
          <w:bCs/>
          <w:sz w:val="24"/>
          <w:szCs w:val="24"/>
        </w:rPr>
        <w:t>Samarinda</w:t>
      </w:r>
      <w:proofErr w:type="spellEnd"/>
      <w:r w:rsidRPr="00EC197B">
        <w:rPr>
          <w:rFonts w:asciiTheme="minorHAnsi" w:eastAsia="Times New Roman" w:hAnsiTheme="minorHAnsi" w:cstheme="majorBidi"/>
          <w:b/>
          <w:bCs/>
          <w:sz w:val="24"/>
          <w:szCs w:val="24"/>
        </w:rPr>
        <w:t xml:space="preserve"> Students</w:t>
      </w:r>
    </w:p>
    <w:tbl>
      <w:tblPr>
        <w:tblStyle w:val="TableGrid"/>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2883"/>
        <w:gridCol w:w="2883"/>
        <w:gridCol w:w="2883"/>
      </w:tblGrid>
      <w:tr w:rsidR="00592DD5" w14:paraId="69812CD4" w14:textId="77777777" w:rsidTr="00592DD5">
        <w:tc>
          <w:tcPr>
            <w:tcW w:w="2883" w:type="dxa"/>
          </w:tcPr>
          <w:p w14:paraId="24133545" w14:textId="2F7FAADE"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lang w:val="id-ID"/>
              </w:rPr>
              <w:t>Student Name</w:t>
            </w:r>
          </w:p>
        </w:tc>
        <w:tc>
          <w:tcPr>
            <w:tcW w:w="2883" w:type="dxa"/>
          </w:tcPr>
          <w:p w14:paraId="0FEF5B6E" w14:textId="4FCAD3AD"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lang w:val="id-ID"/>
              </w:rPr>
              <w:t>Score Before</w:t>
            </w:r>
          </w:p>
        </w:tc>
        <w:tc>
          <w:tcPr>
            <w:tcW w:w="2883" w:type="dxa"/>
          </w:tcPr>
          <w:p w14:paraId="6C9349C0" w14:textId="33276333"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lang w:val="id-ID"/>
              </w:rPr>
              <w:t>Score After</w:t>
            </w:r>
          </w:p>
        </w:tc>
      </w:tr>
      <w:tr w:rsidR="00592DD5" w14:paraId="1B44C9C5" w14:textId="77777777" w:rsidTr="00592DD5">
        <w:tc>
          <w:tcPr>
            <w:tcW w:w="2883" w:type="dxa"/>
          </w:tcPr>
          <w:p w14:paraId="1BA1B861" w14:textId="09155CB8"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AK</w:t>
            </w:r>
          </w:p>
        </w:tc>
        <w:tc>
          <w:tcPr>
            <w:tcW w:w="2883" w:type="dxa"/>
          </w:tcPr>
          <w:p w14:paraId="262B2247" w14:textId="1392B35F"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80</w:t>
            </w:r>
          </w:p>
        </w:tc>
        <w:tc>
          <w:tcPr>
            <w:tcW w:w="2883" w:type="dxa"/>
          </w:tcPr>
          <w:p w14:paraId="5FCECABE" w14:textId="7DF803A6"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91</w:t>
            </w:r>
          </w:p>
        </w:tc>
      </w:tr>
      <w:tr w:rsidR="00592DD5" w14:paraId="039B9A14" w14:textId="77777777" w:rsidTr="00592DD5">
        <w:tc>
          <w:tcPr>
            <w:tcW w:w="2883" w:type="dxa"/>
          </w:tcPr>
          <w:p w14:paraId="38FD4FE0" w14:textId="2EB0E3BA"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SA</w:t>
            </w:r>
          </w:p>
        </w:tc>
        <w:tc>
          <w:tcPr>
            <w:tcW w:w="2883" w:type="dxa"/>
          </w:tcPr>
          <w:p w14:paraId="68EE1EE3" w14:textId="531D2A1D"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80</w:t>
            </w:r>
          </w:p>
        </w:tc>
        <w:tc>
          <w:tcPr>
            <w:tcW w:w="2883" w:type="dxa"/>
          </w:tcPr>
          <w:p w14:paraId="1223D47E" w14:textId="20E588AF"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86</w:t>
            </w:r>
          </w:p>
        </w:tc>
      </w:tr>
      <w:tr w:rsidR="00592DD5" w14:paraId="3DEE6D02" w14:textId="77777777" w:rsidTr="00592DD5">
        <w:tc>
          <w:tcPr>
            <w:tcW w:w="2883" w:type="dxa"/>
          </w:tcPr>
          <w:p w14:paraId="03729C81" w14:textId="20B95580"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HZ</w:t>
            </w:r>
          </w:p>
        </w:tc>
        <w:tc>
          <w:tcPr>
            <w:tcW w:w="2883" w:type="dxa"/>
          </w:tcPr>
          <w:p w14:paraId="5EEAACEB" w14:textId="0111E49F"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82</w:t>
            </w:r>
          </w:p>
        </w:tc>
        <w:tc>
          <w:tcPr>
            <w:tcW w:w="2883" w:type="dxa"/>
          </w:tcPr>
          <w:p w14:paraId="6BF8AC14" w14:textId="267C686D"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90</w:t>
            </w:r>
          </w:p>
        </w:tc>
      </w:tr>
      <w:tr w:rsidR="00592DD5" w14:paraId="1610659A" w14:textId="77777777" w:rsidTr="00592DD5">
        <w:tc>
          <w:tcPr>
            <w:tcW w:w="2883" w:type="dxa"/>
          </w:tcPr>
          <w:p w14:paraId="7ED8B55F" w14:textId="0DBEEE13"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IM</w:t>
            </w:r>
          </w:p>
        </w:tc>
        <w:tc>
          <w:tcPr>
            <w:tcW w:w="2883" w:type="dxa"/>
          </w:tcPr>
          <w:p w14:paraId="5AB300EF" w14:textId="70C01106"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78</w:t>
            </w:r>
          </w:p>
        </w:tc>
        <w:tc>
          <w:tcPr>
            <w:tcW w:w="2883" w:type="dxa"/>
          </w:tcPr>
          <w:p w14:paraId="2037C1BE" w14:textId="135A0BA1"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80</w:t>
            </w:r>
          </w:p>
        </w:tc>
      </w:tr>
      <w:tr w:rsidR="00592DD5" w14:paraId="56CE4B92" w14:textId="77777777" w:rsidTr="00592DD5">
        <w:tc>
          <w:tcPr>
            <w:tcW w:w="2883" w:type="dxa"/>
          </w:tcPr>
          <w:p w14:paraId="0E1674AE" w14:textId="007CE5B3"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CZH</w:t>
            </w:r>
          </w:p>
        </w:tc>
        <w:tc>
          <w:tcPr>
            <w:tcW w:w="2883" w:type="dxa"/>
          </w:tcPr>
          <w:p w14:paraId="0E86DF60" w14:textId="5284BF12"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80</w:t>
            </w:r>
          </w:p>
        </w:tc>
        <w:tc>
          <w:tcPr>
            <w:tcW w:w="2883" w:type="dxa"/>
          </w:tcPr>
          <w:p w14:paraId="67342723" w14:textId="49A2F479"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82</w:t>
            </w:r>
          </w:p>
        </w:tc>
      </w:tr>
      <w:tr w:rsidR="00592DD5" w14:paraId="7B32E314" w14:textId="77777777" w:rsidTr="00592DD5">
        <w:tc>
          <w:tcPr>
            <w:tcW w:w="2883" w:type="dxa"/>
          </w:tcPr>
          <w:p w14:paraId="026EAC2E" w14:textId="0B89B095"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ZNK</w:t>
            </w:r>
          </w:p>
        </w:tc>
        <w:tc>
          <w:tcPr>
            <w:tcW w:w="2883" w:type="dxa"/>
          </w:tcPr>
          <w:p w14:paraId="6AD01742" w14:textId="3C4809D0"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78</w:t>
            </w:r>
          </w:p>
        </w:tc>
        <w:tc>
          <w:tcPr>
            <w:tcW w:w="2883" w:type="dxa"/>
          </w:tcPr>
          <w:p w14:paraId="4C1921CF" w14:textId="32AD478E"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85</w:t>
            </w:r>
          </w:p>
        </w:tc>
      </w:tr>
      <w:tr w:rsidR="00592DD5" w14:paraId="5C5D6F7A" w14:textId="77777777" w:rsidTr="00592DD5">
        <w:tc>
          <w:tcPr>
            <w:tcW w:w="2883" w:type="dxa"/>
          </w:tcPr>
          <w:p w14:paraId="10B10DB3" w14:textId="3C9EE801"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DR</w:t>
            </w:r>
          </w:p>
        </w:tc>
        <w:tc>
          <w:tcPr>
            <w:tcW w:w="2883" w:type="dxa"/>
          </w:tcPr>
          <w:p w14:paraId="73675335" w14:textId="37374AE7"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81</w:t>
            </w:r>
          </w:p>
        </w:tc>
        <w:tc>
          <w:tcPr>
            <w:tcW w:w="2883" w:type="dxa"/>
          </w:tcPr>
          <w:p w14:paraId="5DF00785" w14:textId="5F413FE8"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rPr>
              <w:t>87</w:t>
            </w:r>
          </w:p>
        </w:tc>
      </w:tr>
      <w:tr w:rsidR="00592DD5" w14:paraId="0B66ACB3" w14:textId="77777777" w:rsidTr="00592DD5">
        <w:tc>
          <w:tcPr>
            <w:tcW w:w="2883" w:type="dxa"/>
          </w:tcPr>
          <w:p w14:paraId="17784BD6" w14:textId="653D85C4"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lang w:val="id-ID"/>
              </w:rPr>
              <w:t>Average</w:t>
            </w:r>
          </w:p>
        </w:tc>
        <w:tc>
          <w:tcPr>
            <w:tcW w:w="2883" w:type="dxa"/>
          </w:tcPr>
          <w:p w14:paraId="7D021BAB" w14:textId="04418BEB"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rPr>
              <w:t>79</w:t>
            </w:r>
          </w:p>
        </w:tc>
        <w:tc>
          <w:tcPr>
            <w:tcW w:w="2883" w:type="dxa"/>
          </w:tcPr>
          <w:p w14:paraId="54EC6189" w14:textId="61A1766F" w:rsidR="00592DD5" w:rsidRDefault="00592DD5" w:rsidP="00592DD5">
            <w:pPr>
              <w:jc w:val="center"/>
              <w:rPr>
                <w:rFonts w:asciiTheme="minorHAnsi" w:hAnsiTheme="minorHAnsi" w:cstheme="majorBidi"/>
                <w:b/>
                <w:bCs/>
                <w:sz w:val="24"/>
                <w:szCs w:val="24"/>
              </w:rPr>
            </w:pPr>
            <w:r w:rsidRPr="00F64588">
              <w:rPr>
                <w:rFonts w:asciiTheme="minorHAnsi" w:hAnsiTheme="minorHAnsi" w:cstheme="majorBidi"/>
                <w:b/>
                <w:bCs/>
              </w:rPr>
              <w:t>86</w:t>
            </w:r>
          </w:p>
        </w:tc>
      </w:tr>
    </w:tbl>
    <w:p w14:paraId="16D975ED" w14:textId="79A85C6B" w:rsidR="00402FA9" w:rsidRPr="00402FA9" w:rsidRDefault="00402FA9" w:rsidP="00003721">
      <w:pPr>
        <w:pStyle w:val="ListParagraph"/>
        <w:spacing w:before="240" w:after="0" w:line="240" w:lineRule="auto"/>
        <w:ind w:left="426" w:right="71" w:firstLine="567"/>
        <w:jc w:val="both"/>
        <w:rPr>
          <w:rFonts w:asciiTheme="minorHAnsi" w:eastAsia="Times New Roman" w:hAnsiTheme="minorHAnsi" w:cstheme="majorBidi"/>
          <w:color w:val="000000" w:themeColor="text1"/>
          <w:sz w:val="24"/>
          <w:szCs w:val="24"/>
        </w:rPr>
      </w:pPr>
      <w:r w:rsidRPr="00402FA9">
        <w:rPr>
          <w:rFonts w:asciiTheme="minorHAnsi" w:eastAsia="Times New Roman" w:hAnsiTheme="minorHAnsi" w:cstheme="majorBidi"/>
          <w:color w:val="000000" w:themeColor="text1"/>
          <w:sz w:val="24"/>
          <w:szCs w:val="24"/>
        </w:rPr>
        <w:t xml:space="preserve">Table 1 shows that all students demonstrated improvements in their PAI scores after regularly using </w:t>
      </w:r>
      <w:proofErr w:type="spellStart"/>
      <w:r w:rsidRPr="00402FA9">
        <w:rPr>
          <w:rFonts w:asciiTheme="minorHAnsi" w:eastAsia="Times New Roman" w:hAnsiTheme="minorHAnsi" w:cstheme="majorBidi"/>
          <w:color w:val="000000" w:themeColor="text1"/>
          <w:sz w:val="24"/>
          <w:szCs w:val="24"/>
        </w:rPr>
        <w:t>Ruangguru</w:t>
      </w:r>
      <w:proofErr w:type="spellEnd"/>
      <w:r w:rsidRPr="00402FA9">
        <w:rPr>
          <w:rFonts w:asciiTheme="minorHAnsi" w:eastAsia="Times New Roman" w:hAnsiTheme="minorHAnsi" w:cstheme="majorBidi"/>
          <w:color w:val="000000" w:themeColor="text1"/>
          <w:sz w:val="24"/>
          <w:szCs w:val="24"/>
        </w:rPr>
        <w:t>, with score increases ranging from 2 to 11 points. The overall average score increased from 79 before using the platform to 86 afterward, representing a substantial improvement in the context of the end-of-semester examination.</w:t>
      </w:r>
    </w:p>
    <w:p w14:paraId="1F5703A2" w14:textId="77777777" w:rsidR="00F64588" w:rsidRPr="00C929D5" w:rsidRDefault="00F64588" w:rsidP="00003721">
      <w:pPr>
        <w:pStyle w:val="ListParagraph"/>
        <w:spacing w:before="240" w:after="0" w:line="240" w:lineRule="auto"/>
        <w:ind w:left="426" w:right="71" w:firstLine="567"/>
        <w:jc w:val="both"/>
        <w:rPr>
          <w:rFonts w:asciiTheme="minorHAnsi" w:eastAsia="Cambria" w:hAnsiTheme="minorHAnsi" w:cs="Cambria"/>
          <w:sz w:val="24"/>
          <w:szCs w:val="24"/>
          <w:highlight w:val="white"/>
        </w:rPr>
      </w:pPr>
    </w:p>
    <w:p w14:paraId="6A9609D3" w14:textId="77777777" w:rsidR="0039525E" w:rsidRPr="00323EAF" w:rsidRDefault="00320985" w:rsidP="00C929D5">
      <w:pPr>
        <w:numPr>
          <w:ilvl w:val="0"/>
          <w:numId w:val="1"/>
        </w:numPr>
        <w:pBdr>
          <w:top w:val="nil"/>
          <w:left w:val="nil"/>
          <w:bottom w:val="nil"/>
          <w:right w:val="nil"/>
          <w:between w:val="nil"/>
        </w:pBdr>
        <w:spacing w:after="0" w:line="240" w:lineRule="auto"/>
        <w:ind w:left="426" w:right="71" w:hanging="426"/>
        <w:jc w:val="both"/>
        <w:rPr>
          <w:rFonts w:ascii="Cambria" w:eastAsia="Cambria" w:hAnsi="Cambria" w:cs="Cambria"/>
          <w:color w:val="000000" w:themeColor="text1"/>
          <w:sz w:val="24"/>
          <w:szCs w:val="24"/>
        </w:rPr>
      </w:pPr>
      <w:r w:rsidRPr="00323EAF">
        <w:rPr>
          <w:rFonts w:ascii="Cambria" w:eastAsia="Cambria" w:hAnsi="Cambria" w:cs="Cambria"/>
          <w:b/>
          <w:bCs/>
          <w:color w:val="000000" w:themeColor="text1"/>
          <w:sz w:val="24"/>
          <w:szCs w:val="24"/>
        </w:rPr>
        <w:t>Discussion</w:t>
      </w:r>
    </w:p>
    <w:p w14:paraId="1903E2F5" w14:textId="60A123E7" w:rsidR="0039525E" w:rsidRPr="00323EAF" w:rsidRDefault="00C148A5" w:rsidP="00C929D5">
      <w:pPr>
        <w:numPr>
          <w:ilvl w:val="3"/>
          <w:numId w:val="1"/>
        </w:numPr>
        <w:pBdr>
          <w:top w:val="nil"/>
          <w:left w:val="nil"/>
          <w:bottom w:val="nil"/>
          <w:right w:val="nil"/>
          <w:between w:val="nil"/>
        </w:pBdr>
        <w:spacing w:after="0" w:line="240" w:lineRule="auto"/>
        <w:ind w:left="709" w:hanging="283"/>
        <w:jc w:val="both"/>
        <w:rPr>
          <w:rFonts w:ascii="Cambria" w:eastAsia="Cambria" w:hAnsi="Cambria" w:cs="Cambria"/>
          <w:b/>
          <w:bCs/>
          <w:color w:val="000000" w:themeColor="text1"/>
          <w:sz w:val="24"/>
          <w:szCs w:val="24"/>
        </w:rPr>
      </w:pPr>
      <w:r w:rsidRPr="00323EAF">
        <w:rPr>
          <w:rFonts w:ascii="Cambria" w:eastAsia="Cambria" w:hAnsi="Cambria" w:cs="Cambria"/>
          <w:b/>
          <w:bCs/>
          <w:color w:val="000000" w:themeColor="text1"/>
          <w:sz w:val="24"/>
          <w:szCs w:val="24"/>
        </w:rPr>
        <w:t>Helping Improve PAI Learning Outcomes</w:t>
      </w:r>
      <w:r w:rsidR="00320985" w:rsidRPr="00323EAF">
        <w:rPr>
          <w:rFonts w:ascii="Cambria" w:eastAsia="Cambria" w:hAnsi="Cambria" w:cs="Cambria"/>
          <w:b/>
          <w:bCs/>
          <w:color w:val="000000" w:themeColor="text1"/>
          <w:sz w:val="24"/>
          <w:szCs w:val="24"/>
        </w:rPr>
        <w:t xml:space="preserve"> </w:t>
      </w:r>
    </w:p>
    <w:p w14:paraId="676E8D28" w14:textId="1515BF6A" w:rsidR="003B723A" w:rsidRPr="00323EAF" w:rsidRDefault="003B723A" w:rsidP="00EF63EC">
      <w:pPr>
        <w:spacing w:after="120" w:line="240" w:lineRule="auto"/>
        <w:ind w:left="426" w:right="71" w:firstLine="567"/>
        <w:jc w:val="both"/>
        <w:rPr>
          <w:rFonts w:ascii="Cambria" w:eastAsia="Cambria" w:hAnsi="Cambria" w:cs="Cambria"/>
          <w:color w:val="000000" w:themeColor="text1"/>
          <w:sz w:val="24"/>
          <w:szCs w:val="24"/>
          <w:highlight w:val="white"/>
        </w:rPr>
      </w:pPr>
      <w:r w:rsidRPr="00323EAF">
        <w:rPr>
          <w:rFonts w:ascii="Cambria" w:eastAsia="Cambria" w:hAnsi="Cambria" w:cs="Cambria"/>
          <w:color w:val="000000" w:themeColor="text1"/>
          <w:sz w:val="24"/>
          <w:szCs w:val="24"/>
        </w:rPr>
        <w:t xml:space="preserve">The findings indicate that the use of </w:t>
      </w:r>
      <w:proofErr w:type="spellStart"/>
      <w:r w:rsidRPr="00323EAF">
        <w:rPr>
          <w:rFonts w:ascii="Cambria" w:eastAsia="Cambria" w:hAnsi="Cambria" w:cs="Cambria"/>
          <w:color w:val="000000" w:themeColor="text1"/>
          <w:sz w:val="24"/>
          <w:szCs w:val="24"/>
        </w:rPr>
        <w:t>Ruangguru</w:t>
      </w:r>
      <w:proofErr w:type="spellEnd"/>
      <w:r w:rsidRPr="00323EAF">
        <w:rPr>
          <w:rFonts w:ascii="Cambria" w:eastAsia="Cambria" w:hAnsi="Cambria" w:cs="Cambria"/>
          <w:color w:val="000000" w:themeColor="text1"/>
          <w:sz w:val="24"/>
          <w:szCs w:val="24"/>
        </w:rPr>
        <w:t xml:space="preserve"> contributed to improving students’ understanding and learning outcomes in Islamic Religious Education (PAI). This improvement can be interpreted as the result of the platform’s ability to provide interactive learning experiences through animated videos, practice exercises, and immediate feedback. Although the increase in students’ scores cannot be interpreted as causal evidence because this study used a qualitative design, the score documentation strengthens the finding that students experienced positive learning development after regularly using </w:t>
      </w:r>
      <w:proofErr w:type="spellStart"/>
      <w:r w:rsidRPr="00323EAF">
        <w:rPr>
          <w:rFonts w:ascii="Cambria" w:eastAsia="Cambria" w:hAnsi="Cambria" w:cs="Cambria"/>
          <w:color w:val="000000" w:themeColor="text1"/>
          <w:sz w:val="24"/>
          <w:szCs w:val="24"/>
        </w:rPr>
        <w:t>Ruangguru</w:t>
      </w:r>
      <w:proofErr w:type="spellEnd"/>
      <w:r w:rsidRPr="00323EAF">
        <w:rPr>
          <w:rFonts w:ascii="Cambria" w:eastAsia="Cambria" w:hAnsi="Cambria" w:cs="Cambria"/>
          <w:color w:val="000000" w:themeColor="text1"/>
          <w:sz w:val="24"/>
          <w:szCs w:val="24"/>
        </w:rPr>
        <w:t xml:space="preserve">. This is consistent with </w:t>
      </w:r>
      <w:r w:rsidR="006E63A6" w:rsidRPr="00323EAF">
        <w:rPr>
          <w:rFonts w:ascii="Cambria" w:eastAsia="Times New Roman" w:hAnsi="Cambria" w:cs="Times New Roman"/>
          <w:color w:val="000000" w:themeColor="text1"/>
          <w:sz w:val="24"/>
          <w:szCs w:val="24"/>
          <w:lang w:val="id-ID" w:eastAsia="en-US"/>
        </w:rPr>
        <w:fldChar w:fldCharType="begin" w:fldLock="1"/>
      </w:r>
      <w:r w:rsidR="006E63A6" w:rsidRPr="00323EAF">
        <w:rPr>
          <w:rFonts w:ascii="Cambria" w:eastAsia="Times New Roman" w:hAnsi="Cambria" w:cs="Times New Roman"/>
          <w:color w:val="000000" w:themeColor="text1"/>
          <w:sz w:val="24"/>
          <w:szCs w:val="24"/>
          <w:lang w:val="id-ID" w:eastAsia="en-US"/>
        </w:rPr>
        <w:instrText>ADDIN CSL_CITATION {"citationItems":[{"id":"ITEM-1","itemData":{"DOI":"10.23887/JEU.V10I1.43365","ISSN":"2615-2908","abstract":"Kurangnya penggunaan media pembelajaran menurut karakteristik peserta didik, kemudian berdampak pada hasil belajar peserta didik. Tujuan dari penelitian ini yakni untuk mengembangkan multimedia interaktif dan menilai validitas multimedia interaktif. Penelitian ini tergolong kedalam jenis penelitian pengembangan, yang dikembangkan menggunakan model pengembangan Hannafin and Peck. Subjek yang terlibat dalam penelitian ini yakni 1 ahli mata pelajaran, 1 ahli desain pembelajaran, 1 ahli media pembelajaran, 3 siswa uji coba perorangan dan 6 siswa uji coba kelompok kecil. Pengumpulan data dalam penelitian dilakukan dengan metode kuesioner, pencatatan dokumen dan wawancara. Data yang diperoleh dalam penelitian kemudian dianalisis dengan menggunakan teknik analisis deskriptif kualitatif dan analisis deskriptif kuantitatif. Hasil analisis penelitian menunjukkan bahwa multimedia interaktif dinyatakan valid dengan hasil review ahli isi mata pelajaran dengan kualifikasi sangat baik (95%), hasil review ahli desain pembelajaran dengan kualifikasi baik (86%), hasil review ahli media pembelajaran dengan kualifikasi baik (78%), hasil uji coba perorangan dengan kualifikasi sangat baik (92,6%), dan hasil uji coba kelompok kecil dengan kualifikasi sangat baik (94,3%). Hasil penelitian secara umum menunjukkan bahwa multimedia interaktif memiliki kelayakan dan dapat diterapkan dalam proses pembelajaran.","author":[{"dropping-particle":"","family":"Rohmah","given":"Shofiana","non-dropping-particle":"","parse-names":false,"suffix":""},{"dropping-particle":"","family":"Tegeh","given":"I Made","non-dropping-particle":"","parse-names":false,"suffix":""}],"container-title":"Jurnal Edutech Undiksha","id":"ITEM-1","issue":"2","issued":{"date-parts":[["2022","2","21"]]},"page":"215-224","publisher":"Universitas Pendidikan Ganesha","title":"Multimedia Interaktif Untuk Meningkatkan Minat dan Hasil Belajar PAI","type":"article-journal","volume":"10"},"uris":["http://www.mendeley.com/documents/?uuid=69df59c9-ff6d-3717-b571-a2be374cb300"]}],"mendeley":{"formattedCitation":"(Rohmah &amp; Tegeh, 2022)","plainTextFormattedCitation":"(Rohmah &amp; Tegeh, 2022)"},"properties":{"noteIndex":0},"schema":"https://github.com/citation-style-language/schema/raw/master/csl-citation.json"}</w:instrText>
      </w:r>
      <w:r w:rsidR="006E63A6" w:rsidRPr="00323EAF">
        <w:rPr>
          <w:rFonts w:ascii="Cambria" w:eastAsia="Times New Roman" w:hAnsi="Cambria" w:cs="Times New Roman"/>
          <w:color w:val="000000" w:themeColor="text1"/>
          <w:sz w:val="24"/>
          <w:szCs w:val="24"/>
          <w:lang w:val="id-ID" w:eastAsia="en-US"/>
        </w:rPr>
        <w:fldChar w:fldCharType="separate"/>
      </w:r>
      <w:r w:rsidR="006E63A6" w:rsidRPr="00323EAF">
        <w:rPr>
          <w:rFonts w:ascii="Cambria" w:eastAsia="Times New Roman" w:hAnsi="Cambria" w:cs="Times New Roman"/>
          <w:noProof/>
          <w:color w:val="000000" w:themeColor="text1"/>
          <w:sz w:val="24"/>
          <w:szCs w:val="24"/>
          <w:lang w:val="id-ID" w:eastAsia="en-US"/>
        </w:rPr>
        <w:t>Rohmah &amp; Tegeh</w:t>
      </w:r>
      <w:r w:rsidR="006E63A6" w:rsidRPr="00323EAF">
        <w:rPr>
          <w:rFonts w:ascii="Cambria" w:eastAsia="Times New Roman" w:hAnsi="Cambria" w:cs="Times New Roman"/>
          <w:noProof/>
          <w:color w:val="000000" w:themeColor="text1"/>
          <w:sz w:val="24"/>
          <w:szCs w:val="24"/>
          <w:lang w:val="id-ID" w:eastAsia="en-US"/>
        </w:rPr>
        <w:t xml:space="preserve"> (</w:t>
      </w:r>
      <w:r w:rsidR="006E63A6" w:rsidRPr="00323EAF">
        <w:rPr>
          <w:rFonts w:ascii="Cambria" w:eastAsia="Times New Roman" w:hAnsi="Cambria" w:cs="Times New Roman"/>
          <w:noProof/>
          <w:color w:val="000000" w:themeColor="text1"/>
          <w:sz w:val="24"/>
          <w:szCs w:val="24"/>
          <w:lang w:val="id-ID" w:eastAsia="en-US"/>
        </w:rPr>
        <w:t>2022)</w:t>
      </w:r>
      <w:r w:rsidR="006E63A6" w:rsidRPr="00323EAF">
        <w:rPr>
          <w:rFonts w:ascii="Cambria" w:eastAsia="Times New Roman" w:hAnsi="Cambria" w:cs="Times New Roman"/>
          <w:color w:val="000000" w:themeColor="text1"/>
          <w:sz w:val="24"/>
          <w:szCs w:val="24"/>
          <w:lang w:val="id-ID" w:eastAsia="en-US"/>
        </w:rPr>
        <w:fldChar w:fldCharType="end"/>
      </w:r>
      <w:r w:rsidRPr="00323EAF">
        <w:rPr>
          <w:rFonts w:ascii="Cambria" w:eastAsia="Cambria" w:hAnsi="Cambria" w:cs="Cambria"/>
          <w:color w:val="000000" w:themeColor="text1"/>
          <w:sz w:val="24"/>
          <w:szCs w:val="24"/>
        </w:rPr>
        <w:t xml:space="preserve">, who found that interactive multimedia can increase students’ interest and learning outcomes in PAI. </w:t>
      </w:r>
      <w:r w:rsidR="006E63A6" w:rsidRPr="00323EAF">
        <w:rPr>
          <w:rFonts w:ascii="Cambria" w:eastAsia="Times New Roman" w:hAnsi="Cambria" w:cs="Times New Roman"/>
          <w:color w:val="000000" w:themeColor="text1"/>
          <w:sz w:val="24"/>
          <w:szCs w:val="24"/>
          <w:lang w:val="en-US" w:eastAsia="en-US"/>
        </w:rPr>
        <w:fldChar w:fldCharType="begin" w:fldLock="1"/>
      </w:r>
      <w:r w:rsidR="006E63A6" w:rsidRPr="00323EAF">
        <w:rPr>
          <w:rFonts w:ascii="Cambria" w:eastAsia="Times New Roman" w:hAnsi="Cambria" w:cs="Times New Roman"/>
          <w:color w:val="000000" w:themeColor="text1"/>
          <w:sz w:val="24"/>
          <w:szCs w:val="24"/>
          <w:lang w:val="en-US" w:eastAsia="en-US"/>
        </w:rPr>
        <w:instrText>ADDIN CSL_CITATION {"citationItems":[{"id":"ITEM-1","itemData":{"DOI":"10.61132/PRAGMATIK.V3I3.1844","ISSN":"3026-4359","abstract":"The purpose of this study is to evaluate how well interactive learning materials can raise elementary school pupils' motivation and interest in learning. Animation films, instructional games, and simulations are examples of interactive learning materials that offer students a familiar, dynamic, and developmentally appropriate learning experience. Using a qualitative approach and a literature review strategy, the study examined material from a range of pertinent sources, including books, journals, and research reports. According to the study's findings, students who actively interact with interactive media can become more involved in the learning process. Additionally, it offers instant feedback, which increases self-confidence, helps pupils understand their progress, and fortifies their enthusiasm to learn.","author":[{"dropping-particle":"","family":"Sapitri","given":"Serli","non-dropping-particle":"","parse-names":false,"suffix":""},{"dropping-particle":"","family":"Suriani","given":"Ari","non-dropping-particle":"","parse-names":false,"suffix":""}],"container-title":"Pragmatik : Jurnal Rumpun Ilmu Bahasa dan Pendidikan ","id":"ITEM-1","issue":"3","issued":{"date-parts":[["2025","6","9"]]},"page":"282-292","publisher":"Asosiasi Riset Ilmu Manajemen dan Bisnis Indonesia","title":"Efektivitas Media Pembelajaran Interaktif dalam Meningkatkan Minat Belajar Siswa SD","type":"article-journal","volume":"3"},"uris":["http://www.mendeley.com/documents/?uuid=0068f4ce-9c84-3bc4-be0d-db42129b85ed"]}],"mendeley":{"formattedCitation":"(Sapitri &amp; Suriani, 2025)","plainTextFormattedCitation":"(Sapitri &amp; Suriani, 2025)","previouslyFormattedCitation":"(Sapitri &amp; Suriani, 2025)"},"properties":{"noteIndex":0},"schema":"https://github.com/citation-style-language/schema/raw/master/csl-citation.json"}</w:instrText>
      </w:r>
      <w:r w:rsidR="006E63A6" w:rsidRPr="00323EAF">
        <w:rPr>
          <w:rFonts w:ascii="Cambria" w:eastAsia="Times New Roman" w:hAnsi="Cambria" w:cs="Times New Roman"/>
          <w:color w:val="000000" w:themeColor="text1"/>
          <w:sz w:val="24"/>
          <w:szCs w:val="24"/>
          <w:lang w:val="en-US" w:eastAsia="en-US"/>
        </w:rPr>
        <w:fldChar w:fldCharType="separate"/>
      </w:r>
      <w:r w:rsidR="006E63A6" w:rsidRPr="00323EAF">
        <w:rPr>
          <w:rFonts w:ascii="Cambria" w:eastAsia="Times New Roman" w:hAnsi="Cambria" w:cs="Times New Roman"/>
          <w:noProof/>
          <w:color w:val="000000" w:themeColor="text1"/>
          <w:sz w:val="24"/>
          <w:szCs w:val="24"/>
          <w:lang w:val="en-US" w:eastAsia="en-US"/>
        </w:rPr>
        <w:t>Sapitri and Suriani (2025)</w:t>
      </w:r>
      <w:r w:rsidR="006E63A6" w:rsidRPr="00323EAF">
        <w:rPr>
          <w:rFonts w:ascii="Cambria" w:eastAsia="Times New Roman" w:hAnsi="Cambria" w:cs="Times New Roman"/>
          <w:color w:val="000000" w:themeColor="text1"/>
          <w:sz w:val="24"/>
          <w:szCs w:val="24"/>
          <w:lang w:val="en-US" w:eastAsia="en-US"/>
        </w:rPr>
        <w:fldChar w:fldCharType="end"/>
      </w:r>
      <w:r w:rsidR="006E63A6" w:rsidRPr="00323EAF">
        <w:rPr>
          <w:rFonts w:ascii="Cambria" w:eastAsia="Times New Roman" w:hAnsi="Cambria" w:cs="Times New Roman"/>
          <w:color w:val="000000" w:themeColor="text1"/>
          <w:sz w:val="24"/>
          <w:szCs w:val="24"/>
          <w:lang w:val="en-US" w:eastAsia="en-US"/>
        </w:rPr>
        <w:t xml:space="preserve"> </w:t>
      </w:r>
      <w:r w:rsidRPr="00323EAF">
        <w:rPr>
          <w:rFonts w:ascii="Cambria" w:eastAsia="Cambria" w:hAnsi="Cambria" w:cs="Cambria"/>
          <w:color w:val="000000" w:themeColor="text1"/>
          <w:sz w:val="24"/>
          <w:szCs w:val="24"/>
        </w:rPr>
        <w:t xml:space="preserve">also emphasize that one of the main advantages of interactive media is its ability to provide instant feedback, which in turn improves overall learning mastery. Similarly, </w:t>
      </w:r>
      <w:r w:rsidR="006E63A6" w:rsidRPr="00323EAF">
        <w:rPr>
          <w:rFonts w:ascii="Cambria" w:eastAsia="Times New Roman" w:hAnsi="Cambria" w:cs="Times New Roman"/>
          <w:color w:val="000000" w:themeColor="text1"/>
          <w:sz w:val="24"/>
          <w:szCs w:val="24"/>
          <w:lang w:val="en-US" w:eastAsia="en-US"/>
        </w:rPr>
        <w:fldChar w:fldCharType="begin" w:fldLock="1"/>
      </w:r>
      <w:r w:rsidR="006E63A6" w:rsidRPr="00323EAF">
        <w:rPr>
          <w:rFonts w:ascii="Cambria" w:eastAsia="Times New Roman" w:hAnsi="Cambria" w:cs="Times New Roman"/>
          <w:color w:val="000000" w:themeColor="text1"/>
          <w:sz w:val="24"/>
          <w:szCs w:val="24"/>
          <w:lang w:val="en-US" w:eastAsia="en-US"/>
        </w:rPr>
        <w:instrText>ADDIN CSL_CITATION {"citationItems":[{"id":"ITEM-1","itemData":{"DOI":"10.22373/JPPG.V2I1.6748","ISSN":"2985-9220","abstract":"This study aims to improve student learning outcomes in Islamic religious education learning using Audio Visual Media. This study is a classroom action research that uses four steps, namely planning, action, observation and reflection. The subjects of this study were elementary school students. The data for this study were obtained using test and observation techniques. Tests are used to measure learning outcomes and observations are used to analyze teacher and student learning activities. The data analysis technique used in this study is descriptive statistics by comparing the results obtained with indicators of research success. The results of the study indicate that Learning through Audio Visual Media can improve student learning outcomes in Islamic religious education learning. This can be seen from the increase in the percentage of student learning completion in each cycle with details of the pre-cycle 40.89%, the first cycle 68.87% and in the second cycle increased to 90.32%. Thus, Learning through Audio Visual Media can be used as an alternative to improve student learning outcomes in Islamic religious education learning","author":[{"dropping-particle":"","family":"Hasibuan","given":"Nur Laila","non-dropping-particle":"","parse-names":false,"suffix":""},{"dropping-particle":"","family":"Nurdiana","given":"","non-dropping-particle":"","parse-names":false,"suffix":""},{"dropping-particle":"","family":"Kartini","given":"Apriyanah","non-dropping-particle":"","parse-names":false,"suffix":""}],"container-title":"Jurnal Pendidikan Profesi Guru","id":"ITEM-1","issue":"1","issued":{"date-parts":[["2024","2","10"]]},"page":"93-99","publisher":"Universitas Islam Negeri Ar-Raniry","title":"Improving Student Learning Outcomes through Audio Visual Media in Islamic Education Learning at SD Negeri 26 Sampean","type":"article-journal","volume":"2"},"uris":["http://www.mendeley.com/documents/?uuid=12ce5294-207d-3e36-be5f-02ccaa5d6454"]}],"mendeley":{"formattedCitation":"(Hasibuan et al., 2024)","plainTextFormattedCitation":"(Hasibuan et al., 2024)","previouslyFormattedCitation":"(Hasibuan et al., 2024)"},"properties":{"noteIndex":0},"schema":"https://github.com/citation-style-language/schema/raw/master/csl-citation.json"}</w:instrText>
      </w:r>
      <w:r w:rsidR="006E63A6" w:rsidRPr="00323EAF">
        <w:rPr>
          <w:rFonts w:ascii="Cambria" w:eastAsia="Times New Roman" w:hAnsi="Cambria" w:cs="Times New Roman"/>
          <w:color w:val="000000" w:themeColor="text1"/>
          <w:sz w:val="24"/>
          <w:szCs w:val="24"/>
          <w:lang w:val="en-US" w:eastAsia="en-US"/>
        </w:rPr>
        <w:fldChar w:fldCharType="separate"/>
      </w:r>
      <w:r w:rsidR="006E63A6" w:rsidRPr="00323EAF">
        <w:rPr>
          <w:rFonts w:ascii="Cambria" w:eastAsia="Times New Roman" w:hAnsi="Cambria" w:cs="Times New Roman"/>
          <w:noProof/>
          <w:color w:val="000000" w:themeColor="text1"/>
          <w:sz w:val="24"/>
          <w:szCs w:val="24"/>
          <w:lang w:val="en-US" w:eastAsia="en-US"/>
        </w:rPr>
        <w:t>Hasibuan et al. (2024</w:t>
      </w:r>
      <w:r w:rsidR="006E63A6" w:rsidRPr="00323EAF">
        <w:rPr>
          <w:rFonts w:ascii="Cambria" w:eastAsia="Times New Roman" w:hAnsi="Cambria" w:cs="Times New Roman"/>
          <w:color w:val="000000" w:themeColor="text1"/>
          <w:sz w:val="24"/>
          <w:szCs w:val="24"/>
          <w:lang w:val="en-US" w:eastAsia="en-US"/>
        </w:rPr>
        <w:fldChar w:fldCharType="end"/>
      </w:r>
      <w:r w:rsidR="006E63A6" w:rsidRPr="00323EAF">
        <w:rPr>
          <w:rFonts w:ascii="Cambria" w:eastAsia="Times New Roman" w:hAnsi="Cambria" w:cs="Times New Roman"/>
          <w:color w:val="000000" w:themeColor="text1"/>
          <w:sz w:val="24"/>
          <w:szCs w:val="24"/>
          <w:lang w:val="en-US" w:eastAsia="en-US"/>
        </w:rPr>
        <w:t>)</w:t>
      </w:r>
      <w:r w:rsidR="006E63A6" w:rsidRPr="00323EAF">
        <w:rPr>
          <w:rFonts w:ascii="Cambria" w:eastAsia="Times New Roman" w:hAnsi="Cambria" w:cs="Times New Roman"/>
          <w:color w:val="000000" w:themeColor="text1"/>
          <w:sz w:val="24"/>
          <w:szCs w:val="24"/>
          <w:lang w:val="id-ID" w:eastAsia="en-US"/>
        </w:rPr>
        <w:t xml:space="preserve"> </w:t>
      </w:r>
      <w:r w:rsidRPr="00323EAF">
        <w:rPr>
          <w:rFonts w:ascii="Cambria" w:eastAsia="Cambria" w:hAnsi="Cambria" w:cs="Cambria"/>
          <w:color w:val="000000" w:themeColor="text1"/>
          <w:sz w:val="24"/>
          <w:szCs w:val="24"/>
        </w:rPr>
        <w:t>showed that the consistent use of audio-visual media improves students’ learning outcomes in Islamic Religious Education.</w:t>
      </w:r>
    </w:p>
    <w:p w14:paraId="765997DF" w14:textId="5FD2DBD0" w:rsidR="0039525E" w:rsidRPr="00323EAF" w:rsidRDefault="00C148A5" w:rsidP="00C929D5">
      <w:pPr>
        <w:numPr>
          <w:ilvl w:val="3"/>
          <w:numId w:val="1"/>
        </w:numPr>
        <w:pBdr>
          <w:top w:val="nil"/>
          <w:left w:val="nil"/>
          <w:bottom w:val="nil"/>
          <w:right w:val="nil"/>
          <w:between w:val="nil"/>
        </w:pBdr>
        <w:spacing w:after="0" w:line="240" w:lineRule="auto"/>
        <w:ind w:left="709" w:right="71" w:hanging="283"/>
        <w:jc w:val="both"/>
        <w:rPr>
          <w:rFonts w:ascii="Cambria" w:eastAsia="Cambria" w:hAnsi="Cambria" w:cs="Cambria"/>
          <w:b/>
          <w:bCs/>
          <w:color w:val="000000" w:themeColor="text1"/>
          <w:sz w:val="24"/>
          <w:szCs w:val="24"/>
          <w:highlight w:val="white"/>
        </w:rPr>
      </w:pPr>
      <w:r w:rsidRPr="00323EAF">
        <w:rPr>
          <w:rFonts w:ascii="Cambria" w:eastAsia="Cambria" w:hAnsi="Cambria" w:cs="Cambria"/>
          <w:b/>
          <w:bCs/>
          <w:color w:val="000000" w:themeColor="text1"/>
          <w:sz w:val="24"/>
          <w:szCs w:val="24"/>
        </w:rPr>
        <w:t>Providing Accessible Learning Facilities</w:t>
      </w:r>
    </w:p>
    <w:p w14:paraId="33687D73" w14:textId="215CAE9F" w:rsidR="003B723A" w:rsidRPr="00323EAF" w:rsidRDefault="003B723A" w:rsidP="00EF63EC">
      <w:pPr>
        <w:spacing w:after="120" w:line="240" w:lineRule="auto"/>
        <w:ind w:left="426" w:right="71" w:firstLine="567"/>
        <w:jc w:val="both"/>
        <w:rPr>
          <w:rFonts w:ascii="Cambria" w:eastAsia="Cambria" w:hAnsi="Cambria" w:cs="Cambria"/>
          <w:color w:val="000000" w:themeColor="text1"/>
          <w:sz w:val="24"/>
          <w:szCs w:val="24"/>
          <w:highlight w:val="white"/>
        </w:rPr>
      </w:pPr>
      <w:r w:rsidRPr="00323EAF">
        <w:rPr>
          <w:rFonts w:ascii="Cambria" w:eastAsia="Cambria" w:hAnsi="Cambria" w:cs="Cambria"/>
          <w:color w:val="000000" w:themeColor="text1"/>
          <w:sz w:val="24"/>
          <w:szCs w:val="24"/>
        </w:rPr>
        <w:t xml:space="preserve">The findings also show that </w:t>
      </w:r>
      <w:proofErr w:type="spellStart"/>
      <w:r w:rsidRPr="00323EAF">
        <w:rPr>
          <w:rFonts w:ascii="Cambria" w:eastAsia="Cambria" w:hAnsi="Cambria" w:cs="Cambria"/>
          <w:color w:val="000000" w:themeColor="text1"/>
          <w:sz w:val="24"/>
          <w:szCs w:val="24"/>
        </w:rPr>
        <w:t>Ruangguru</w:t>
      </w:r>
      <w:proofErr w:type="spellEnd"/>
      <w:r w:rsidRPr="00323EAF">
        <w:rPr>
          <w:rFonts w:ascii="Cambria" w:eastAsia="Cambria" w:hAnsi="Cambria" w:cs="Cambria"/>
          <w:color w:val="000000" w:themeColor="text1"/>
          <w:sz w:val="24"/>
          <w:szCs w:val="24"/>
        </w:rPr>
        <w:t xml:space="preserve"> functions as an accessible learning facility for students and families. This accessibility is important because not all parents have sufficient time or knowledge to accompany their children in learning PAI directly. Through digital access, students can study independently using smartphones or tablets, while parents can monitor learning progress through available reports. This indicates that </w:t>
      </w:r>
      <w:proofErr w:type="spellStart"/>
      <w:r w:rsidRPr="00323EAF">
        <w:rPr>
          <w:rFonts w:ascii="Cambria" w:eastAsia="Cambria" w:hAnsi="Cambria" w:cs="Cambria"/>
          <w:color w:val="000000" w:themeColor="text1"/>
          <w:sz w:val="24"/>
          <w:szCs w:val="24"/>
        </w:rPr>
        <w:t>Ruangguru</w:t>
      </w:r>
      <w:proofErr w:type="spellEnd"/>
      <w:r w:rsidRPr="00323EAF">
        <w:rPr>
          <w:rFonts w:ascii="Cambria" w:eastAsia="Cambria" w:hAnsi="Cambria" w:cs="Cambria"/>
          <w:color w:val="000000" w:themeColor="text1"/>
          <w:sz w:val="24"/>
          <w:szCs w:val="24"/>
        </w:rPr>
        <w:t xml:space="preserve"> not only support students’ individual learning but also strengthens parental involvement in children’s education. This finding is in line with </w:t>
      </w:r>
      <w:r w:rsidR="006E63A6" w:rsidRPr="00323EAF">
        <w:rPr>
          <w:rFonts w:ascii="Cambria" w:eastAsia="Times New Roman" w:hAnsi="Cambria" w:cs="Times New Roman"/>
          <w:color w:val="000000" w:themeColor="text1"/>
          <w:sz w:val="24"/>
          <w:szCs w:val="24"/>
          <w:lang w:val="en-US" w:eastAsia="en-US"/>
        </w:rPr>
        <w:fldChar w:fldCharType="begin" w:fldLock="1"/>
      </w:r>
      <w:r w:rsidR="006E63A6" w:rsidRPr="00323EAF">
        <w:rPr>
          <w:rFonts w:ascii="Cambria" w:eastAsia="Times New Roman" w:hAnsi="Cambria" w:cs="Times New Roman"/>
          <w:color w:val="000000" w:themeColor="text1"/>
          <w:sz w:val="24"/>
          <w:szCs w:val="24"/>
          <w:lang w:val="en-US" w:eastAsia="en-US"/>
        </w:rPr>
        <w:instrText>ADDIN CSL_CITATION {"citationItems":[{"id":"ITEM-1","itemData":{"DOI":"10.47353/BJ.V4I3.352","ISSN":"2797-1082","abstract":"The use of technology in Islamic religious education (PAI) has become a primary focus in developing effective and relevant teaching methods. This article explores the integration of technology in the design of PAI learning to enhance student engagement and teaching efficiency. A literature review identifies that traditional approaches in PAI education can be enhanced through digital technology, such as interactive applications, e-learning platforms, and social media, which support interaction and deeper understanding of religious teachings. Qualitative research methods were employed to evaluate the implementation of technology in PAI learning at secondary schools. The findings indicate that integrating technology not only increases students' interest in PAI subjects but also expands their access to a wider range of educational resources. The practical implications of this research emphasize the importance of training educators to adopt technology as a tool to enhance the PAI learning experience. This study provides guidance for curriculum developers and educational policymakers to harness the potential of technology in supporting holistic and effective Islamic religious education.","author":[{"dropping-particle":"","family":"Rayhani","given":"A","non-dropping-particle":"","parse-names":false,"suffix":""},{"dropping-particle":"","family":"Hanapi","given":"Wahyu","non-dropping-particle":"","parse-names":false,"suffix":""},{"dropping-particle":"","family":"Cahyadi","given":"Ani","non-dropping-particle":"","parse-names":false,"suffix":""}],"container-title":"Berajah Journal","id":"ITEM-1","issue":"3","issued":{"date-parts":[["2024","6","27"]]},"page":"615-624","title":"PENGEMBANGAN TEKNOLOGI DALAM DESAIN PEMBELAJARAN PAI","type":"article-journal","volume":"4"},"uris":["http://www.mendeley.com/documents/?uuid=1aaf3b18-94cf-3378-ba26-ec2da8f17414"]}],"mendeley":{"formattedCitation":"(Rayhani et al., 2024)","plainTextFormattedCitation":"(Rayhani et al., 2024)","previouslyFormattedCitation":"(Rayhani et al., 2024)"},"properties":{"noteIndex":0},"schema":"https://github.com/citation-style-language/schema/raw/master/csl-citation.json"}</w:instrText>
      </w:r>
      <w:r w:rsidR="006E63A6" w:rsidRPr="00323EAF">
        <w:rPr>
          <w:rFonts w:ascii="Cambria" w:eastAsia="Times New Roman" w:hAnsi="Cambria" w:cs="Times New Roman"/>
          <w:color w:val="000000" w:themeColor="text1"/>
          <w:sz w:val="24"/>
          <w:szCs w:val="24"/>
          <w:lang w:val="en-US" w:eastAsia="en-US"/>
        </w:rPr>
        <w:fldChar w:fldCharType="separate"/>
      </w:r>
      <w:r w:rsidR="006E63A6" w:rsidRPr="00323EAF">
        <w:rPr>
          <w:rFonts w:ascii="Cambria" w:eastAsia="Times New Roman" w:hAnsi="Cambria" w:cs="Times New Roman"/>
          <w:noProof/>
          <w:color w:val="000000" w:themeColor="text1"/>
          <w:sz w:val="24"/>
          <w:szCs w:val="24"/>
          <w:lang w:val="en-US" w:eastAsia="en-US"/>
        </w:rPr>
        <w:t>Rayhani et al. (2024)</w:t>
      </w:r>
      <w:r w:rsidR="006E63A6" w:rsidRPr="00323EAF">
        <w:rPr>
          <w:rFonts w:ascii="Cambria" w:eastAsia="Times New Roman" w:hAnsi="Cambria" w:cs="Times New Roman"/>
          <w:color w:val="000000" w:themeColor="text1"/>
          <w:sz w:val="24"/>
          <w:szCs w:val="24"/>
          <w:lang w:val="en-US" w:eastAsia="en-US"/>
        </w:rPr>
        <w:fldChar w:fldCharType="end"/>
      </w:r>
      <w:r w:rsidRPr="00323EAF">
        <w:rPr>
          <w:rFonts w:ascii="Cambria" w:eastAsia="Cambria" w:hAnsi="Cambria" w:cs="Cambria"/>
          <w:color w:val="000000" w:themeColor="text1"/>
          <w:sz w:val="24"/>
          <w:szCs w:val="24"/>
        </w:rPr>
        <w:t xml:space="preserve">, who emphasize that easy access to learning media and technology is an essential prerequisite for ensuring that digital integration in PAI learning can be implemented inclusively. </w:t>
      </w:r>
      <w:r w:rsidR="00131870" w:rsidRPr="00323EAF">
        <w:rPr>
          <w:rFonts w:ascii="Cambria" w:eastAsia="Times New Roman" w:hAnsi="Cambria" w:cstheme="majorBidi"/>
          <w:color w:val="000000" w:themeColor="text1"/>
          <w:sz w:val="24"/>
          <w:szCs w:val="24"/>
        </w:rPr>
        <w:fldChar w:fldCharType="begin" w:fldLock="1"/>
      </w:r>
      <w:r w:rsidR="00131870" w:rsidRPr="00323EAF">
        <w:rPr>
          <w:rFonts w:ascii="Cambria" w:eastAsia="Times New Roman" w:hAnsi="Cambria" w:cstheme="majorBidi"/>
          <w:color w:val="000000" w:themeColor="text1"/>
          <w:sz w:val="24"/>
          <w:szCs w:val="24"/>
        </w:rPr>
        <w:instrText>ADDIN CSL_CITATION {"citationItems":[{"id":"ITEM-1","itemData":{"DOI":"10.29303/JIPP.V10I1.2962","ISSN":"2620-8326","abstract":"Penelitian ini bertujuan untuk mengidentifikasi peran literasi digital dalam pembentukan etika sosial di dunia maya pada siswa sekolah dasar. Kehadiran teknologi digital yang pesat mempengaruhi kehidupan masyarakat, termasuk anak-anak yang semakin aktif dalam penggunaan media sosial. Namun, rendahnya kesadaran akan etika sosial di dunia maya, seperti penyebaran hoax dan cyber bullying, menimbulkan dampak negatif. Literasi digital, yang mencakup keterampilan teknis serta pemahaman etis dalam berinteraksi di dunia maya, menjadi solusi penting untuk membentuk perilaku digital yang bertanggung jawab. Melalui literasi digital, siswa dapat memahami nilai-nilai etika sosial, seperti menghargai privasi, bertanggung jawab dalam berbagi informasi, dan menghindari perilaku negatif. Penelitian ini menggunakan metode kualitatif dengan pendekatan pustaka untuk menganalisis hubungan antara literasi digital dan etika sosial di dunia maya. Hasil penelitian menunjukkan bahwa literasi digital yang baik berpengaruh positif terhadap pengembangan etika sosial di kalangan siswa, namun tantangan seperti keterbatasan akses teknologi dan pemahaman orang tua masih menjadi hambatan. Oleh karena itu, diperlukan kerjasama antara guru, orang tua, dan pemerintah untuk meningkatkan literasi digital guna menciptakan lingkungan digital yang aman dan mendukung perkembangan sosial siswa.","author":[{"dropping-particle":"","family":"Febriani","given":"Dinda Rizki","non-dropping-particle":"","parse-names":false,"suffix":""},{"dropping-particle":"","family":"Indriyani","given":"Intan","non-dropping-particle":"","parse-names":false,"suffix":""},{"dropping-particle":"","family":"Shafa Fauziyah","given":"Annisa","non-dropping-particle":"","parse-names":false,"suffix":""},{"dropping-particle":"","family":"Salsabila Divania","given":"Ailsa","non-dropping-particle":"","parse-names":false,"suffix":""},{"dropping-particle":"","family":"Maulidah","given":"Neni","non-dropping-particle":"","parse-names":false,"suffix":""}],"container-title":"Jurnal Ilmiah Profesi Pendidikan","id":"ITEM-1","issue":"1","issued":{"date-parts":[["2025","2","28"]]},"page":"858-865","publisher":"Universitas Mataram","title":"Peran Literasi Digital dalam Pembentukan Etika Sosial di Dunia Maya Pada Siswa SD","type":"article-journal","volume":"10"},"uris":["http://www.mendeley.com/documents/?uuid=8cc3f908-b061-38df-bd7c-1dfa143ad215"]}],"mendeley":{"formattedCitation":"(Febriani et al., 2025)","plainTextFormattedCitation":"(Febriani et al., 2025)","previouslyFormattedCitation":"(Febriani et al., 2025)"},"properties":{"noteIndex":0},"schema":"https://github.com/citation-style-language/schema/raw/master/csl-citation.json"}</w:instrText>
      </w:r>
      <w:r w:rsidR="00131870" w:rsidRPr="00323EAF">
        <w:rPr>
          <w:rFonts w:ascii="Cambria" w:eastAsia="Times New Roman" w:hAnsi="Cambria" w:cstheme="majorBidi"/>
          <w:color w:val="000000" w:themeColor="text1"/>
          <w:sz w:val="24"/>
          <w:szCs w:val="24"/>
        </w:rPr>
        <w:fldChar w:fldCharType="separate"/>
      </w:r>
      <w:r w:rsidR="00131870" w:rsidRPr="00323EAF">
        <w:rPr>
          <w:rFonts w:ascii="Cambria" w:eastAsia="Times New Roman" w:hAnsi="Cambria" w:cstheme="majorBidi"/>
          <w:noProof/>
          <w:color w:val="000000" w:themeColor="text1"/>
          <w:sz w:val="24"/>
          <w:szCs w:val="24"/>
        </w:rPr>
        <w:t>Febriani et al. (2025)</w:t>
      </w:r>
      <w:r w:rsidR="00131870" w:rsidRPr="00323EAF">
        <w:rPr>
          <w:rFonts w:ascii="Cambria" w:eastAsia="Times New Roman" w:hAnsi="Cambria" w:cstheme="majorBidi"/>
          <w:color w:val="000000" w:themeColor="text1"/>
          <w:sz w:val="24"/>
          <w:szCs w:val="24"/>
        </w:rPr>
        <w:fldChar w:fldCharType="end"/>
      </w:r>
      <w:r w:rsidR="00131870" w:rsidRPr="00323EAF">
        <w:rPr>
          <w:rFonts w:ascii="Cambria" w:eastAsia="Times New Roman" w:hAnsi="Cambria" w:cstheme="majorBidi"/>
          <w:color w:val="000000" w:themeColor="text1"/>
          <w:sz w:val="24"/>
          <w:szCs w:val="24"/>
          <w:lang w:val="id-ID"/>
        </w:rPr>
        <w:t xml:space="preserve"> </w:t>
      </w:r>
      <w:r w:rsidRPr="00323EAF">
        <w:rPr>
          <w:rFonts w:ascii="Cambria" w:eastAsia="Cambria" w:hAnsi="Cambria" w:cs="Cambria"/>
          <w:color w:val="000000" w:themeColor="text1"/>
          <w:sz w:val="24"/>
          <w:szCs w:val="24"/>
        </w:rPr>
        <w:t xml:space="preserve">also emphasized that parents’ access to information regarding their children’s digital learning progress is essential for providing appropriate and effective learning support. </w:t>
      </w:r>
      <w:r w:rsidR="006E63A6" w:rsidRPr="00323EAF">
        <w:rPr>
          <w:rFonts w:ascii="Cambria" w:eastAsia="Times New Roman" w:hAnsi="Cambria" w:cs="Times New Roman"/>
          <w:color w:val="000000" w:themeColor="text1"/>
          <w:sz w:val="24"/>
          <w:szCs w:val="24"/>
          <w:lang w:val="en-US" w:eastAsia="en-US"/>
        </w:rPr>
        <w:fldChar w:fldCharType="begin" w:fldLock="1"/>
      </w:r>
      <w:r w:rsidR="006E63A6" w:rsidRPr="00323EAF">
        <w:rPr>
          <w:rFonts w:ascii="Cambria" w:eastAsia="Times New Roman" w:hAnsi="Cambria" w:cs="Times New Roman"/>
          <w:color w:val="000000" w:themeColor="text1"/>
          <w:sz w:val="24"/>
          <w:szCs w:val="24"/>
          <w:lang w:val="en-US" w:eastAsia="en-US"/>
        </w:rPr>
        <w:instrText>ADDIN CSL_CITATION {"citationItems":[{"id":"ITEM-1","itemData":{"DOI":"10.31004/BASICEDU.V7I6.6525","ISSN":"2580-1147","abstract":"Dalam menjalani proses pembelajaran siswa memerlukan bantuan dan bimbingan orang lain. Para guru dalam semua ajaran yang diberikan secara efektif tersirat suatu bentuk bimbingan. Bimbingan serta arahan guru secara tidak langsung berpengaruh terhadap prestasi belajar siswa di sekolah. Prestasi belajar siswa di SD tarbiyah islamiyah masih tergolong rendah, hal ini dapat dilihat dari hasil ulangan siswa khususnya di kelas V. Prestasi belajar siswa harus ditingkatkan supaya hasil belajar dapat tercapai sesuai dengan yang diharapkan, sebab prestasi belajar merupakan permasalahan yang banyak menimpa siswa di sekolah pada umumnya. Salah satunya adalah dengan memberikan bimbingan dan konseling kepada siswa. Tujuan penelitian ini adalah untuk membuktikan ada tidaknya pengaruh bimbingan belajar dan pembelajaran konseling terhadap prestasi belajar matematika siswa kelas V SD Tarbiyah Islamiyah 2023. Penelitain ini menggunakan metode penelitian kuantitatif dengan jenis penelitian korelasional untuk mengetahui ada tidaknya pengaruh atau hubungan antara variabel Bimbingan dan Konseling Belajar terhadap Prestasi Belajar Siswa Kelas V SD Tarbiyah Islamiyah. Melalui penelitian ini di dapatkan hasil bahwa ada pengaruh yang signifikan antara bimbingan dan konseling belajar terhadap prestasi belajar matematika siswa kelas V SD Tarbiyah Islamiyah Tahun 2023. Besar pengaruh antara bimbingan dan konseling belajar terhadap prestasi belajar matematika siswa kelas V SD Tarbiyah Islamiyah adalah 0,013 &amp;lt; 0,05. Jadi Ho ditolak dan Ha diterima. Pada taraf kesalahan 5%.","author":[{"dropping-particle":"","family":"Apriyanti","given":"Apriyanti","non-dropping-particle":"","parse-names":false,"suffix":""},{"dropping-particle":"","family":"Hartini","given":"Hartini","non-dropping-particle":"","parse-names":false,"suffix":""},{"dropping-particle":"","family":"Fadila","given":"Fadila","non-dropping-particle":"","parse-names":false,"suffix":""}],"container-title":"Jurnal Basicedu","id":"ITEM-1","issue":"6","issued":{"date-parts":[["2023","12","30"]]},"page":"3970-3979","publisher":"Universitas Pahlawan Tuanku Tambusai","title":"Pengaruh Bimbingan dan Konseling Belajar terhadap Prestasi Belajar Matematika Siswa Sekolah Dasar","type":"article-journal","volume":"7"},"uris":["http://www.mendeley.com/documents/?uuid=11b1dc1f-abee-384f-a636-2cca9595f3b7"]}],"mendeley":{"formattedCitation":"(Apriyanti et al., 2023)","plainTextFormattedCitation":"(Apriyanti et al., 2023)","previouslyFormattedCitation":"(Apriyanti et al., 2023)"},"properties":{"noteIndex":0},"schema":"https://github.com/citation-style-language/schema/raw/master/csl-citation.json"}</w:instrText>
      </w:r>
      <w:r w:rsidR="006E63A6" w:rsidRPr="00323EAF">
        <w:rPr>
          <w:rFonts w:ascii="Cambria" w:eastAsia="Times New Roman" w:hAnsi="Cambria" w:cs="Times New Roman"/>
          <w:color w:val="000000" w:themeColor="text1"/>
          <w:sz w:val="24"/>
          <w:szCs w:val="24"/>
          <w:lang w:val="en-US" w:eastAsia="en-US"/>
        </w:rPr>
        <w:fldChar w:fldCharType="separate"/>
      </w:r>
      <w:r w:rsidR="006E63A6" w:rsidRPr="00323EAF">
        <w:rPr>
          <w:rFonts w:ascii="Cambria" w:eastAsia="Times New Roman" w:hAnsi="Cambria" w:cs="Times New Roman"/>
          <w:noProof/>
          <w:color w:val="000000" w:themeColor="text1"/>
          <w:sz w:val="24"/>
          <w:szCs w:val="24"/>
          <w:lang w:val="en-US" w:eastAsia="en-US"/>
        </w:rPr>
        <w:t>Apriyanti et al. (2023)</w:t>
      </w:r>
      <w:r w:rsidR="006E63A6" w:rsidRPr="00323EAF">
        <w:rPr>
          <w:rFonts w:ascii="Cambria" w:eastAsia="Times New Roman" w:hAnsi="Cambria" w:cs="Times New Roman"/>
          <w:color w:val="000000" w:themeColor="text1"/>
          <w:sz w:val="24"/>
          <w:szCs w:val="24"/>
          <w:lang w:val="en-US" w:eastAsia="en-US"/>
        </w:rPr>
        <w:fldChar w:fldCharType="end"/>
      </w:r>
      <w:r w:rsidR="006E63A6" w:rsidRPr="00323EAF">
        <w:rPr>
          <w:rFonts w:ascii="Cambria" w:eastAsia="Times New Roman" w:hAnsi="Cambria" w:cs="Times New Roman"/>
          <w:color w:val="000000" w:themeColor="text1"/>
          <w:sz w:val="24"/>
          <w:szCs w:val="24"/>
          <w:lang w:val="id-ID" w:eastAsia="en-US"/>
        </w:rPr>
        <w:t xml:space="preserve"> </w:t>
      </w:r>
      <w:r w:rsidRPr="00323EAF">
        <w:rPr>
          <w:rFonts w:ascii="Cambria" w:eastAsia="Cambria" w:hAnsi="Cambria" w:cs="Cambria"/>
          <w:color w:val="000000" w:themeColor="text1"/>
          <w:sz w:val="24"/>
          <w:szCs w:val="24"/>
        </w:rPr>
        <w:t>further affirm that the availability of structured tutoring is positively correlated with improved academic achievement, particularly in materials that require regular practice, such as memorizing short surahs.</w:t>
      </w:r>
    </w:p>
    <w:p w14:paraId="41A0A18B" w14:textId="243B87DF" w:rsidR="0039525E" w:rsidRPr="00323EAF" w:rsidRDefault="00C148A5" w:rsidP="00C929D5">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themeColor="text1"/>
          <w:sz w:val="24"/>
          <w:szCs w:val="24"/>
          <w:highlight w:val="white"/>
        </w:rPr>
      </w:pPr>
      <w:r w:rsidRPr="00323EAF">
        <w:rPr>
          <w:rFonts w:ascii="Cambria" w:eastAsia="Cambria" w:hAnsi="Cambria" w:cs="Cambria"/>
          <w:b/>
          <w:bCs/>
          <w:color w:val="000000" w:themeColor="text1"/>
          <w:sz w:val="24"/>
          <w:szCs w:val="24"/>
        </w:rPr>
        <w:t>Motivating Students to Learn Without Pressure</w:t>
      </w:r>
    </w:p>
    <w:p w14:paraId="49FB0E8C" w14:textId="79B4323F" w:rsidR="003B723A" w:rsidRPr="00323EAF" w:rsidRDefault="003B723A" w:rsidP="00C148A5">
      <w:pPr>
        <w:spacing w:after="120" w:line="240" w:lineRule="auto"/>
        <w:ind w:left="426" w:right="71" w:firstLine="567"/>
        <w:jc w:val="both"/>
        <w:rPr>
          <w:rFonts w:ascii="Cambria" w:eastAsia="Times New Roman" w:hAnsi="Cambria" w:cs="Times New Roman"/>
          <w:color w:val="000000" w:themeColor="text1"/>
          <w:sz w:val="24"/>
          <w:szCs w:val="24"/>
          <w:lang w:val="en-US" w:eastAsia="en-US"/>
        </w:rPr>
      </w:pPr>
      <w:r w:rsidRPr="00323EAF">
        <w:rPr>
          <w:rFonts w:ascii="Cambria" w:eastAsia="Times New Roman" w:hAnsi="Cambria" w:cs="Times New Roman"/>
          <w:color w:val="000000" w:themeColor="text1"/>
          <w:sz w:val="24"/>
          <w:szCs w:val="24"/>
          <w:lang w:val="en-US" w:eastAsia="en-US"/>
        </w:rPr>
        <w:t xml:space="preserve">Another important finding is that </w:t>
      </w:r>
      <w:proofErr w:type="spellStart"/>
      <w:r w:rsidRPr="00323EAF">
        <w:rPr>
          <w:rFonts w:ascii="Cambria" w:eastAsia="Times New Roman" w:hAnsi="Cambria" w:cs="Times New Roman"/>
          <w:color w:val="000000" w:themeColor="text1"/>
          <w:sz w:val="24"/>
          <w:szCs w:val="24"/>
          <w:lang w:val="en-US" w:eastAsia="en-US"/>
        </w:rPr>
        <w:t>Ruangguru</w:t>
      </w:r>
      <w:proofErr w:type="spellEnd"/>
      <w:r w:rsidRPr="00323EAF">
        <w:rPr>
          <w:rFonts w:ascii="Cambria" w:eastAsia="Times New Roman" w:hAnsi="Cambria" w:cs="Times New Roman"/>
          <w:color w:val="000000" w:themeColor="text1"/>
          <w:sz w:val="24"/>
          <w:szCs w:val="24"/>
          <w:lang w:val="en-US" w:eastAsia="en-US"/>
        </w:rPr>
        <w:t xml:space="preserve"> helped increase students’ willingness to learn PAI independently. Before using </w:t>
      </w:r>
      <w:proofErr w:type="spellStart"/>
      <w:r w:rsidRPr="00323EAF">
        <w:rPr>
          <w:rFonts w:ascii="Cambria" w:eastAsia="Times New Roman" w:hAnsi="Cambria" w:cs="Times New Roman"/>
          <w:color w:val="000000" w:themeColor="text1"/>
          <w:sz w:val="24"/>
          <w:szCs w:val="24"/>
          <w:lang w:val="en-US" w:eastAsia="en-US"/>
        </w:rPr>
        <w:t>Ruangguru</w:t>
      </w:r>
      <w:proofErr w:type="spellEnd"/>
      <w:r w:rsidRPr="00323EAF">
        <w:rPr>
          <w:rFonts w:ascii="Cambria" w:eastAsia="Times New Roman" w:hAnsi="Cambria" w:cs="Times New Roman"/>
          <w:color w:val="000000" w:themeColor="text1"/>
          <w:sz w:val="24"/>
          <w:szCs w:val="24"/>
          <w:lang w:val="en-US" w:eastAsia="en-US"/>
        </w:rPr>
        <w:t xml:space="preserve">, several students tended to show passive attitudes toward conventional PAI learning. After using the </w:t>
      </w:r>
      <w:proofErr w:type="spellStart"/>
      <w:r w:rsidRPr="00323EAF">
        <w:rPr>
          <w:rFonts w:ascii="Cambria" w:eastAsia="Times New Roman" w:hAnsi="Cambria" w:cs="Times New Roman"/>
          <w:color w:val="000000" w:themeColor="text1"/>
          <w:sz w:val="24"/>
          <w:szCs w:val="24"/>
          <w:lang w:val="en-US" w:eastAsia="en-US"/>
        </w:rPr>
        <w:t>Ruangngaji</w:t>
      </w:r>
      <w:proofErr w:type="spellEnd"/>
      <w:r w:rsidRPr="00323EAF">
        <w:rPr>
          <w:rFonts w:ascii="Cambria" w:eastAsia="Times New Roman" w:hAnsi="Cambria" w:cs="Times New Roman"/>
          <w:color w:val="000000" w:themeColor="text1"/>
          <w:sz w:val="24"/>
          <w:szCs w:val="24"/>
          <w:lang w:val="en-US" w:eastAsia="en-US"/>
        </w:rPr>
        <w:t xml:space="preserve"> feature, students became more willing to open the application, complete practice exercises, and repeat learning materials independently. This suggests that digital tutoring can reduce the impression that PAI is merely a memorization-based subject and instead present it as a more engaging and enjoyable learning experience. The gamified interface, animated narratives, and interactive exercises appear to create a learning atmosphere that feels less pressuring for students. This finding supports </w:t>
      </w:r>
      <w:r w:rsidR="00131870" w:rsidRPr="00323EAF">
        <w:rPr>
          <w:rFonts w:ascii="Cambria" w:eastAsia="Times New Roman" w:hAnsi="Cambria" w:cs="Times New Roman"/>
          <w:color w:val="000000" w:themeColor="text1"/>
          <w:sz w:val="24"/>
          <w:szCs w:val="24"/>
          <w:lang w:val="en-US" w:eastAsia="en-US"/>
        </w:rPr>
        <w:fldChar w:fldCharType="begin" w:fldLock="1"/>
      </w:r>
      <w:r w:rsidR="00131870" w:rsidRPr="00323EAF">
        <w:rPr>
          <w:rFonts w:ascii="Cambria" w:eastAsia="Times New Roman" w:hAnsi="Cambria" w:cs="Times New Roman"/>
          <w:color w:val="000000" w:themeColor="text1"/>
          <w:sz w:val="24"/>
          <w:szCs w:val="24"/>
          <w:lang w:val="en-US" w:eastAsia="en-US"/>
        </w:rPr>
        <w:instrText>ADDIN CSL_CITATION {"citationItems":[{"id":"ITEM-1","itemData":{"author":[{"dropping-particle":"","family":"Rusdi","given":"H.","non-dropping-particle":"","parse-names":false,"suffix":""},{"dropping-particle":"","family":"Ervianti","given":"R.","non-dropping-particle":"","parse-names":false,"suffix":""},{"dropping-particle":"","family":"Adrias","given":"A.","non-dropping-particle":"","parse-names":false,"suffix":""},{"dropping-particle":"","family":"Zulkarnaini","given":"A. P.","non-dropping-particle":"","parse-names":false,"suffix":""}],"container-title":"Pendas: Jurnal Ilmiah Pendidikan DasarPP8","id":"ITEM-1","issue":"2","issued":{"date-parts":[["2025"]]},"page":"347–360","title":"Pengaruh Media Pembelajaran Digital Terhadap Motivasi Belajar Siswa Sekolah Dasar","type":"article-journal","volume":"10"},"uris":["http://www.mendeley.com/documents/?uuid=2686c43e-f27e-4cd1-bdc3-e50d83a28cc1"]}],"mendeley":{"formattedCitation":"(Rusdi et al., 2025)","plainTextFormattedCitation":"(Rusdi et al., 2025)","previouslyFormattedCitation":"(Rusdi et al., 2025)"},"properties":{"noteIndex":0},"schema":"https://github.com/citation-style-language/schema/raw/master/csl-citation.json"}</w:instrText>
      </w:r>
      <w:r w:rsidR="00131870" w:rsidRPr="00323EAF">
        <w:rPr>
          <w:rFonts w:ascii="Cambria" w:eastAsia="Times New Roman" w:hAnsi="Cambria" w:cs="Times New Roman"/>
          <w:color w:val="000000" w:themeColor="text1"/>
          <w:sz w:val="24"/>
          <w:szCs w:val="24"/>
          <w:lang w:val="en-US" w:eastAsia="en-US"/>
        </w:rPr>
        <w:fldChar w:fldCharType="separate"/>
      </w:r>
      <w:r w:rsidR="00131870" w:rsidRPr="00323EAF">
        <w:rPr>
          <w:rFonts w:ascii="Cambria" w:eastAsia="Times New Roman" w:hAnsi="Cambria" w:cs="Times New Roman"/>
          <w:noProof/>
          <w:color w:val="000000" w:themeColor="text1"/>
          <w:sz w:val="24"/>
          <w:szCs w:val="24"/>
          <w:lang w:val="en-US" w:eastAsia="en-US"/>
        </w:rPr>
        <w:t xml:space="preserve">Rusdi et al. </w:t>
      </w:r>
      <w:r w:rsidR="00131870" w:rsidRPr="00323EAF">
        <w:rPr>
          <w:rFonts w:ascii="Cambria" w:eastAsia="Times New Roman" w:hAnsi="Cambria" w:cs="Times New Roman"/>
          <w:noProof/>
          <w:color w:val="000000" w:themeColor="text1"/>
          <w:sz w:val="24"/>
          <w:szCs w:val="24"/>
          <w:lang w:val="en-US" w:eastAsia="en-US"/>
        </w:rPr>
        <w:t>(</w:t>
      </w:r>
      <w:r w:rsidR="00131870" w:rsidRPr="00323EAF">
        <w:rPr>
          <w:rFonts w:ascii="Cambria" w:eastAsia="Times New Roman" w:hAnsi="Cambria" w:cs="Times New Roman"/>
          <w:noProof/>
          <w:color w:val="000000" w:themeColor="text1"/>
          <w:sz w:val="24"/>
          <w:szCs w:val="24"/>
          <w:lang w:val="en-US" w:eastAsia="en-US"/>
        </w:rPr>
        <w:t>2025)</w:t>
      </w:r>
      <w:r w:rsidR="00131870" w:rsidRPr="00323EAF">
        <w:rPr>
          <w:rFonts w:ascii="Cambria" w:eastAsia="Times New Roman" w:hAnsi="Cambria" w:cs="Times New Roman"/>
          <w:color w:val="000000" w:themeColor="text1"/>
          <w:sz w:val="24"/>
          <w:szCs w:val="24"/>
          <w:lang w:val="en-US" w:eastAsia="en-US"/>
        </w:rPr>
        <w:fldChar w:fldCharType="end"/>
      </w:r>
      <w:r w:rsidRPr="00323EAF">
        <w:rPr>
          <w:rFonts w:ascii="Cambria" w:eastAsia="Times New Roman" w:hAnsi="Cambria" w:cs="Times New Roman"/>
          <w:color w:val="000000" w:themeColor="text1"/>
          <w:sz w:val="24"/>
          <w:szCs w:val="24"/>
          <w:lang w:val="en-US" w:eastAsia="en-US"/>
        </w:rPr>
        <w:t xml:space="preserve">, who found that digital learning media can increase students’ motivation because the learning process becomes more engaging and less monotonous. </w:t>
      </w:r>
      <w:r w:rsidR="00131870" w:rsidRPr="00323EAF">
        <w:rPr>
          <w:rFonts w:ascii="Cambria" w:eastAsia="Times New Roman" w:hAnsi="Cambria" w:cs="Times New Roman"/>
          <w:color w:val="000000" w:themeColor="text1"/>
          <w:sz w:val="24"/>
          <w:szCs w:val="24"/>
          <w:lang w:val="en-US" w:eastAsia="en-US"/>
        </w:rPr>
        <w:fldChar w:fldCharType="begin" w:fldLock="1"/>
      </w:r>
      <w:r w:rsidR="00131870" w:rsidRPr="00323EAF">
        <w:rPr>
          <w:rFonts w:ascii="Cambria" w:eastAsia="Times New Roman" w:hAnsi="Cambria" w:cs="Times New Roman"/>
          <w:color w:val="000000" w:themeColor="text1"/>
          <w:sz w:val="24"/>
          <w:szCs w:val="24"/>
          <w:lang w:val="en-US" w:eastAsia="en-US"/>
        </w:rPr>
        <w:instrText>ADDIN CSL_CITATION {"citationItems":[{"id":"ITEM-1","itemData":{"DOI":"10.30821/HIJRI.V12I1.16431","ISSN":"1979-8075","abstract":"This article discusses the use of interactive media in increasing student motivation. The article provides a brief overview of the benefits of using interactive media in education, such as increasing student engagement and adapting to individual learning styles. This article also highlights some of the disadvantages of using interactive media, such as the potential for distraction and the cost of developing interactive media. This article concludes that while interactive media can be an effective tool in increasing student motivation, it is important for educators to carefully consider their use and ensure that they are used in a way that maximizes their benefits while minimizing their drawbacks. Interactive Media, Learning Motivation, Students, Learning Experience","author":[{"dropping-particle":"","family":"Nisa","given":"Khorun","non-dropping-particle":"","parse-names":false,"suffix":""},{"dropping-particle":"","family":"Aryanti","given":"Linda Dwi","non-dropping-particle":"","parse-names":false,"suffix":""}],"container-title":"Hijri","id":"ITEM-1","issue":"1","issued":{"date-parts":[["2023","6","23"]]},"page":"31-37","publisher":"MIQOT Jurnal Ilmu ilmu Keislaman","title":"PENGGUNAAN MEDIA INTERAKTIF TERHADAP MOTIVASI BELAJAR SISWA","type":"article-journal","volume":"12"},"uris":["http://www.mendeley.com/documents/?uuid=50593917-6c01-3d38-9013-4d86f6903b05"]}],"mendeley":{"formattedCitation":"(Nisa &amp; Aryanti, 2023)","plainTextFormattedCitation":"(Nisa &amp; Aryanti, 2023)","previouslyFormattedCitation":"(Nisa &amp; Aryanti, 2023)"},"properties":{"noteIndex":0},"schema":"https://github.com/citation-style-language/schema/raw/master/csl-citation.json"}</w:instrText>
      </w:r>
      <w:r w:rsidR="00131870" w:rsidRPr="00323EAF">
        <w:rPr>
          <w:rFonts w:ascii="Cambria" w:eastAsia="Times New Roman" w:hAnsi="Cambria" w:cs="Times New Roman"/>
          <w:color w:val="000000" w:themeColor="text1"/>
          <w:sz w:val="24"/>
          <w:szCs w:val="24"/>
          <w:lang w:val="en-US" w:eastAsia="en-US"/>
        </w:rPr>
        <w:fldChar w:fldCharType="separate"/>
      </w:r>
      <w:r w:rsidR="00131870" w:rsidRPr="00323EAF">
        <w:rPr>
          <w:rFonts w:ascii="Cambria" w:eastAsia="Times New Roman" w:hAnsi="Cambria" w:cs="Times New Roman"/>
          <w:noProof/>
          <w:color w:val="000000" w:themeColor="text1"/>
          <w:sz w:val="24"/>
          <w:szCs w:val="24"/>
          <w:lang w:val="en-US" w:eastAsia="en-US"/>
        </w:rPr>
        <w:t>Nisa and Aryanti (2023)</w:t>
      </w:r>
      <w:r w:rsidR="00131870" w:rsidRPr="00323EAF">
        <w:rPr>
          <w:rFonts w:ascii="Cambria" w:eastAsia="Times New Roman" w:hAnsi="Cambria" w:cs="Times New Roman"/>
          <w:color w:val="000000" w:themeColor="text1"/>
          <w:sz w:val="24"/>
          <w:szCs w:val="24"/>
          <w:lang w:val="en-US" w:eastAsia="en-US"/>
        </w:rPr>
        <w:fldChar w:fldCharType="end"/>
      </w:r>
      <w:r w:rsidR="00131870" w:rsidRPr="00323EAF">
        <w:rPr>
          <w:rFonts w:ascii="Cambria" w:eastAsia="Times New Roman" w:hAnsi="Cambria" w:cs="Times New Roman"/>
          <w:color w:val="000000" w:themeColor="text1"/>
          <w:sz w:val="24"/>
          <w:szCs w:val="24"/>
          <w:lang w:val="id-ID" w:eastAsia="en-US"/>
        </w:rPr>
        <w:t xml:space="preserve"> </w:t>
      </w:r>
      <w:r w:rsidRPr="00323EAF">
        <w:rPr>
          <w:rFonts w:ascii="Cambria" w:eastAsia="Times New Roman" w:hAnsi="Cambria" w:cs="Times New Roman"/>
          <w:color w:val="000000" w:themeColor="text1"/>
          <w:sz w:val="24"/>
          <w:szCs w:val="24"/>
          <w:lang w:val="en-US" w:eastAsia="en-US"/>
        </w:rPr>
        <w:t>also demonstrated that interactive learning media with immediate feedback can reduce students’ resistance toward subjects that were previously perceived as difficult.</w:t>
      </w:r>
    </w:p>
    <w:p w14:paraId="70045F47" w14:textId="02F4EE9A" w:rsidR="00C148A5" w:rsidRPr="00323EAF" w:rsidRDefault="00C148A5" w:rsidP="00C148A5">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themeColor="text1"/>
          <w:sz w:val="24"/>
          <w:szCs w:val="24"/>
          <w:highlight w:val="white"/>
        </w:rPr>
      </w:pPr>
      <w:r w:rsidRPr="00323EAF">
        <w:rPr>
          <w:rFonts w:ascii="Cambria" w:eastAsia="Cambria" w:hAnsi="Cambria" w:cs="Cambria"/>
          <w:b/>
          <w:bCs/>
          <w:color w:val="000000" w:themeColor="text1"/>
          <w:sz w:val="24"/>
          <w:szCs w:val="24"/>
        </w:rPr>
        <w:t>Helping Students Overcome Difficulties in Learning PAI</w:t>
      </w:r>
    </w:p>
    <w:p w14:paraId="018C0C4B" w14:textId="00B96E65" w:rsidR="003B723A" w:rsidRPr="00323EAF" w:rsidRDefault="003B723A" w:rsidP="00C148A5">
      <w:pPr>
        <w:spacing w:after="120" w:line="240" w:lineRule="auto"/>
        <w:ind w:left="426" w:right="71" w:firstLine="567"/>
        <w:jc w:val="both"/>
        <w:rPr>
          <w:rFonts w:ascii="Cambria" w:eastAsia="Times New Roman" w:hAnsi="Cambria" w:cs="Times New Roman"/>
          <w:color w:val="000000" w:themeColor="text1"/>
          <w:sz w:val="24"/>
          <w:szCs w:val="24"/>
          <w:lang w:val="en-US" w:eastAsia="en-US"/>
        </w:rPr>
      </w:pPr>
      <w:r w:rsidRPr="00323EAF">
        <w:rPr>
          <w:rFonts w:ascii="Cambria" w:eastAsia="Times New Roman" w:hAnsi="Cambria" w:cs="Times New Roman"/>
          <w:color w:val="000000" w:themeColor="text1"/>
          <w:sz w:val="24"/>
          <w:szCs w:val="24"/>
          <w:lang w:val="en-US" w:eastAsia="en-US"/>
        </w:rPr>
        <w:t xml:space="preserve">The use of </w:t>
      </w:r>
      <w:proofErr w:type="spellStart"/>
      <w:r w:rsidRPr="00323EAF">
        <w:rPr>
          <w:rFonts w:ascii="Cambria" w:eastAsia="Times New Roman" w:hAnsi="Cambria" w:cs="Times New Roman"/>
          <w:color w:val="000000" w:themeColor="text1"/>
          <w:sz w:val="24"/>
          <w:szCs w:val="24"/>
          <w:lang w:val="en-US" w:eastAsia="en-US"/>
        </w:rPr>
        <w:t>Ruangguru</w:t>
      </w:r>
      <w:proofErr w:type="spellEnd"/>
      <w:r w:rsidRPr="00323EAF">
        <w:rPr>
          <w:rFonts w:ascii="Cambria" w:eastAsia="Times New Roman" w:hAnsi="Cambria" w:cs="Times New Roman"/>
          <w:color w:val="000000" w:themeColor="text1"/>
          <w:sz w:val="24"/>
          <w:szCs w:val="24"/>
          <w:lang w:val="en-US" w:eastAsia="en-US"/>
        </w:rPr>
        <w:t xml:space="preserve"> also helped students overcome difficulties in learning PAI, especially in reading and pronouncing Qur’anic verses correctly. Through interactive instructional videos that incorporate guidance on </w:t>
      </w:r>
      <w:proofErr w:type="spellStart"/>
      <w:r w:rsidRPr="00323EAF">
        <w:rPr>
          <w:rFonts w:ascii="Cambria" w:eastAsia="Times New Roman" w:hAnsi="Cambria" w:cs="Times New Roman"/>
          <w:color w:val="000000" w:themeColor="text1"/>
          <w:sz w:val="24"/>
          <w:szCs w:val="24"/>
          <w:lang w:val="en-US" w:eastAsia="en-US"/>
        </w:rPr>
        <w:t>makharij</w:t>
      </w:r>
      <w:proofErr w:type="spellEnd"/>
      <w:r w:rsidRPr="00323EAF">
        <w:rPr>
          <w:rFonts w:ascii="Cambria" w:eastAsia="Times New Roman" w:hAnsi="Cambria" w:cs="Times New Roman"/>
          <w:color w:val="000000" w:themeColor="text1"/>
          <w:sz w:val="24"/>
          <w:szCs w:val="24"/>
          <w:lang w:val="en-US" w:eastAsia="en-US"/>
        </w:rPr>
        <w:t xml:space="preserve"> al-</w:t>
      </w:r>
      <w:proofErr w:type="spellStart"/>
      <w:r w:rsidRPr="00323EAF">
        <w:rPr>
          <w:rFonts w:ascii="Cambria" w:eastAsia="Times New Roman" w:hAnsi="Cambria" w:cs="Times New Roman"/>
          <w:color w:val="000000" w:themeColor="text1"/>
          <w:sz w:val="24"/>
          <w:szCs w:val="24"/>
          <w:lang w:val="en-US" w:eastAsia="en-US"/>
        </w:rPr>
        <w:t>huruf</w:t>
      </w:r>
      <w:proofErr w:type="spellEnd"/>
      <w:r w:rsidRPr="00323EAF">
        <w:rPr>
          <w:rFonts w:ascii="Cambria" w:eastAsia="Times New Roman" w:hAnsi="Cambria" w:cs="Times New Roman"/>
          <w:color w:val="000000" w:themeColor="text1"/>
          <w:sz w:val="24"/>
          <w:szCs w:val="24"/>
          <w:lang w:val="en-US" w:eastAsia="en-US"/>
        </w:rPr>
        <w:t xml:space="preserve"> and animated visualizations, students receive more concrete support than verbal explanations alone. The ability to replay difficult materials also allows students to practice repeatedly without feeling embarrassed or hesitant. This is particularly important in PAI learning because students’ abilities in Qur’anic recitation are often diverse, and regular classroom instruction may not always provide enough time for individualized practice. </w:t>
      </w:r>
      <w:r w:rsidR="00131870" w:rsidRPr="00323EAF">
        <w:rPr>
          <w:rFonts w:ascii="Cambria" w:eastAsia="Times New Roman" w:hAnsi="Cambria" w:cs="Times New Roman"/>
          <w:color w:val="000000" w:themeColor="text1"/>
          <w:sz w:val="24"/>
          <w:szCs w:val="24"/>
          <w:lang w:val="en-US" w:eastAsia="en-US"/>
        </w:rPr>
        <w:fldChar w:fldCharType="begin" w:fldLock="1"/>
      </w:r>
      <w:r w:rsidR="00131870" w:rsidRPr="00323EAF">
        <w:rPr>
          <w:rFonts w:ascii="Cambria" w:eastAsia="Times New Roman" w:hAnsi="Cambria" w:cs="Times New Roman"/>
          <w:color w:val="000000" w:themeColor="text1"/>
          <w:sz w:val="24"/>
          <w:szCs w:val="24"/>
          <w:lang w:val="en-US" w:eastAsia="en-US"/>
        </w:rPr>
        <w:instrText>ADDIN CSL_CITATION {"citationItems":[{"id":"ITEM-1","itemData":{"DOI":"10.46963/ASATIZA.V6I2.2645","ISSN":"2716-3202","abstract":"This study examines the effects of interactive media (PowerPoint, YouTube, Kahoot, Canva) on student engagement and learning outcomes in Islamic Religious Education (PAI) at Muhammadiyah 12 Senior High School, Jakarta. Employing a qualitative descriptive method, data were collected via semi-structured interviews with two teachers and four students, supplemented by document analysis. Results indicate that 83% of students exhibited heightened motivation and comprehension, particularly through videos and gamification, aligning with the TPACK framework. However, 67% encountered technical barriers (e.g., unstable Wi-Fi, limited data quotas), while teachers noted infrastructural and digital literacy constraints. The study highlights the potential of multimedia to clarify abstract concepts and promote student-centered learning, contingent on addressing technical gaps. Recommendations include institutional investments in Wi-Fi infrastructure, device provision, and teacher training, in line with Indonesia’s Merdeka Belajar policy. It calls for standardized PAI digital resources and digital pedagogy integration in teacher certification. Future research should explore scalability across rural-urban contexts.","author":[{"dropping-particle":"","family":"Pasha","given":"Adinda Sabrina","non-dropping-particle":"","parse-names":false,"suffix":""},{"dropping-particle":"","family":"Rahmanto","given":"Muhammad Arifin","non-dropping-particle":"","parse-names":false,"suffix":""}],"container-title":"Asatiza: Jurnal Pendidikan","id":"ITEM-1","issue":"2","issued":{"date-parts":[["2025","5","31"]]},"page":"118-131","publisher":"STAI Auliaurrasyidin Tembilahan","title":"Interactive Media in Islamic Education: Enhancing Engagement Amid Infrastructure Challenges at Muhammadiyah 12 Senior High School Jakarta","type":"article-journal","volume":"6"},"uris":["http://www.mendeley.com/documents/?uuid=e9e2abd9-2671-31ab-8866-5e9d56abeb02"]}],"mendeley":{"formattedCitation":"(Pasha &amp; Rahmanto, 2025)","plainTextFormattedCitation":"(Pasha &amp; Rahmanto, 2025)","previouslyFormattedCitation":"(Pasha &amp; Rahmanto, 2025)"},"properties":{"noteIndex":0},"schema":"https://github.com/citation-style-language/schema/raw/master/csl-citation.json"}</w:instrText>
      </w:r>
      <w:r w:rsidR="00131870" w:rsidRPr="00323EAF">
        <w:rPr>
          <w:rFonts w:ascii="Cambria" w:eastAsia="Times New Roman" w:hAnsi="Cambria" w:cs="Times New Roman"/>
          <w:color w:val="000000" w:themeColor="text1"/>
          <w:sz w:val="24"/>
          <w:szCs w:val="24"/>
          <w:lang w:val="en-US" w:eastAsia="en-US"/>
        </w:rPr>
        <w:fldChar w:fldCharType="separate"/>
      </w:r>
      <w:r w:rsidR="00131870" w:rsidRPr="00323EAF">
        <w:rPr>
          <w:rFonts w:ascii="Cambria" w:eastAsia="Times New Roman" w:hAnsi="Cambria" w:cs="Times New Roman"/>
          <w:noProof/>
          <w:color w:val="000000" w:themeColor="text1"/>
          <w:sz w:val="24"/>
          <w:szCs w:val="24"/>
          <w:lang w:val="en-US" w:eastAsia="en-US"/>
        </w:rPr>
        <w:t>Pasha and Rahmanto (2025)</w:t>
      </w:r>
      <w:r w:rsidR="00131870" w:rsidRPr="00323EAF">
        <w:rPr>
          <w:rFonts w:ascii="Cambria" w:eastAsia="Times New Roman" w:hAnsi="Cambria" w:cs="Times New Roman"/>
          <w:color w:val="000000" w:themeColor="text1"/>
          <w:sz w:val="24"/>
          <w:szCs w:val="24"/>
          <w:lang w:val="en-US" w:eastAsia="en-US"/>
        </w:rPr>
        <w:fldChar w:fldCharType="end"/>
      </w:r>
      <w:r w:rsidR="00131870" w:rsidRPr="00323EAF">
        <w:rPr>
          <w:rFonts w:ascii="Cambria" w:eastAsia="Times New Roman" w:hAnsi="Cambria" w:cs="Times New Roman"/>
          <w:color w:val="000000" w:themeColor="text1"/>
          <w:sz w:val="24"/>
          <w:szCs w:val="24"/>
          <w:lang w:val="id-ID" w:eastAsia="en-US"/>
        </w:rPr>
        <w:t xml:space="preserve"> </w:t>
      </w:r>
      <w:r w:rsidRPr="00323EAF">
        <w:rPr>
          <w:rFonts w:ascii="Cambria" w:eastAsia="Times New Roman" w:hAnsi="Cambria" w:cs="Times New Roman"/>
          <w:color w:val="000000" w:themeColor="text1"/>
          <w:sz w:val="24"/>
          <w:szCs w:val="24"/>
          <w:lang w:val="en-US" w:eastAsia="en-US"/>
        </w:rPr>
        <w:t xml:space="preserve">argue that interactive media in Islamic education, when designed in accordance with students’ characteristics and learning needs, are more effective in enhancing student engagement than conventional one-way instructional media. Likewise, </w:t>
      </w:r>
      <w:r w:rsidR="00131870" w:rsidRPr="00323EAF">
        <w:rPr>
          <w:rFonts w:ascii="Cambria" w:eastAsia="Times New Roman" w:hAnsi="Cambria" w:cs="Times New Roman"/>
          <w:color w:val="000000" w:themeColor="text1"/>
          <w:sz w:val="24"/>
          <w:szCs w:val="24"/>
          <w:lang w:val="en-US" w:eastAsia="en-US"/>
        </w:rPr>
        <w:fldChar w:fldCharType="begin" w:fldLock="1"/>
      </w:r>
      <w:r w:rsidR="00131870" w:rsidRPr="00323EAF">
        <w:rPr>
          <w:rFonts w:ascii="Cambria" w:eastAsia="Times New Roman" w:hAnsi="Cambria" w:cs="Times New Roman"/>
          <w:color w:val="000000" w:themeColor="text1"/>
          <w:sz w:val="24"/>
          <w:szCs w:val="24"/>
          <w:lang w:val="en-US" w:eastAsia="en-US"/>
        </w:rPr>
        <w:instrText>ADDIN CSL_CITATION {"citationItems":[{"id":"ITEM-1","itemData":{"DOI":"10.61132/PRAGMATIK.V3I3.1844","ISSN":"3026-4359","abstract":"The purpose of this study is to evaluate how well interactive learning materials can raise elementary school pupils' motivation and interest in learning. Animation films, instructional games, and simulations are examples of interactive learning materials that offer students a familiar, dynamic, and developmentally appropriate learning experience. Using a qualitative approach and a literature review strategy, the study examined material from a range of pertinent sources, including books, journals, and research reports. According to the study's findings, students who actively interact with interactive media can become more involved in the learning process. Additionally, it offers instant feedback, which increases self-confidence, helps pupils understand their progress, and fortifies their enthusiasm to learn.","author":[{"dropping-particle":"","family":"Sapitri","given":"Serli","non-dropping-particle":"","parse-names":false,"suffix":""},{"dropping-particle":"","family":"Suriani","given":"Ari","non-dropping-particle":"","parse-names":false,"suffix":""}],"container-title":"Pragmatik : Jurnal Rumpun Ilmu Bahasa dan Pendidikan ","id":"ITEM-1","issue":"3","issued":{"date-parts":[["2025","6","9"]]},"page":"282-292","publisher":"Asosiasi Riset Ilmu Manajemen dan Bisnis Indonesia","title":"Efektivitas Media Pembelajaran Interaktif dalam Meningkatkan Minat Belajar Siswa SD","type":"article-journal","volume":"3"},"uris":["http://www.mendeley.com/documents/?uuid=0068f4ce-9c84-3bc4-be0d-db42129b85ed"]}],"mendeley":{"formattedCitation":"(Sapitri &amp; Suriani, 2025)","plainTextFormattedCitation":"(Sapitri &amp; Suriani, 2025)","previouslyFormattedCitation":"(Sapitri &amp; Suriani, 2025)"},"properties":{"noteIndex":0},"schema":"https://github.com/citation-style-language/schema/raw/master/csl-citation.json"}</w:instrText>
      </w:r>
      <w:r w:rsidR="00131870" w:rsidRPr="00323EAF">
        <w:rPr>
          <w:rFonts w:ascii="Cambria" w:eastAsia="Times New Roman" w:hAnsi="Cambria" w:cs="Times New Roman"/>
          <w:color w:val="000000" w:themeColor="text1"/>
          <w:sz w:val="24"/>
          <w:szCs w:val="24"/>
          <w:lang w:val="en-US" w:eastAsia="en-US"/>
        </w:rPr>
        <w:fldChar w:fldCharType="separate"/>
      </w:r>
      <w:r w:rsidR="00131870" w:rsidRPr="00323EAF">
        <w:rPr>
          <w:rFonts w:ascii="Cambria" w:eastAsia="Times New Roman" w:hAnsi="Cambria" w:cs="Times New Roman"/>
          <w:noProof/>
          <w:color w:val="000000" w:themeColor="text1"/>
          <w:sz w:val="24"/>
          <w:szCs w:val="24"/>
          <w:lang w:val="en-US" w:eastAsia="en-US"/>
        </w:rPr>
        <w:t>Sapitri and Suriani (2025)</w:t>
      </w:r>
      <w:r w:rsidR="00131870" w:rsidRPr="00323EAF">
        <w:rPr>
          <w:rFonts w:ascii="Cambria" w:eastAsia="Times New Roman" w:hAnsi="Cambria" w:cs="Times New Roman"/>
          <w:color w:val="000000" w:themeColor="text1"/>
          <w:sz w:val="24"/>
          <w:szCs w:val="24"/>
          <w:lang w:val="en-US" w:eastAsia="en-US"/>
        </w:rPr>
        <w:fldChar w:fldCharType="end"/>
      </w:r>
      <w:r w:rsidR="00131870" w:rsidRPr="00323EAF">
        <w:rPr>
          <w:rFonts w:ascii="Cambria" w:eastAsia="Times New Roman" w:hAnsi="Cambria" w:cs="Times New Roman"/>
          <w:color w:val="000000" w:themeColor="text1"/>
          <w:sz w:val="24"/>
          <w:szCs w:val="24"/>
          <w:lang w:val="en-US" w:eastAsia="en-US"/>
        </w:rPr>
        <w:t xml:space="preserve"> </w:t>
      </w:r>
      <w:r w:rsidRPr="00323EAF">
        <w:rPr>
          <w:rFonts w:ascii="Cambria" w:eastAsia="Times New Roman" w:hAnsi="Cambria" w:cs="Times New Roman"/>
          <w:color w:val="000000" w:themeColor="text1"/>
          <w:sz w:val="24"/>
          <w:szCs w:val="24"/>
          <w:lang w:val="en-US" w:eastAsia="en-US"/>
        </w:rPr>
        <w:t xml:space="preserve">explain that providing students with opportunities </w:t>
      </w:r>
      <w:r w:rsidR="00BD7A1D">
        <w:rPr>
          <w:rFonts w:ascii="Cambria" w:eastAsia="Times New Roman" w:hAnsi="Cambria" w:cs="Times New Roman"/>
          <w:color w:val="000000" w:themeColor="text1"/>
          <w:sz w:val="24"/>
          <w:szCs w:val="24"/>
          <w:lang w:val="en-US" w:eastAsia="en-US"/>
        </w:rPr>
        <w:t>to practice without fear of judgment repeatedly</w:t>
      </w:r>
      <w:r w:rsidRPr="00323EAF">
        <w:rPr>
          <w:rFonts w:ascii="Cambria" w:eastAsia="Times New Roman" w:hAnsi="Cambria" w:cs="Times New Roman"/>
          <w:color w:val="000000" w:themeColor="text1"/>
          <w:sz w:val="24"/>
          <w:szCs w:val="24"/>
          <w:lang w:val="en-US" w:eastAsia="en-US"/>
        </w:rPr>
        <w:t xml:space="preserve"> fosters greater learning confidence, which ultimately contributes to improved mastery of the subject matter.</w:t>
      </w:r>
    </w:p>
    <w:p w14:paraId="03D1D349" w14:textId="71FB5A7E" w:rsidR="00C148A5" w:rsidRPr="00323EAF" w:rsidRDefault="00C148A5" w:rsidP="00C148A5">
      <w:pPr>
        <w:numPr>
          <w:ilvl w:val="3"/>
          <w:numId w:val="1"/>
        </w:numPr>
        <w:pBdr>
          <w:top w:val="nil"/>
          <w:left w:val="nil"/>
          <w:bottom w:val="nil"/>
          <w:right w:val="nil"/>
          <w:between w:val="nil"/>
        </w:pBdr>
        <w:spacing w:after="0" w:line="240" w:lineRule="auto"/>
        <w:ind w:left="426" w:right="71"/>
        <w:jc w:val="both"/>
        <w:rPr>
          <w:rFonts w:ascii="Cambria" w:eastAsia="Cambria" w:hAnsi="Cambria" w:cs="Cambria"/>
          <w:b/>
          <w:bCs/>
          <w:color w:val="000000" w:themeColor="text1"/>
          <w:sz w:val="24"/>
          <w:szCs w:val="24"/>
          <w:highlight w:val="white"/>
        </w:rPr>
      </w:pPr>
      <w:r w:rsidRPr="00323EAF">
        <w:rPr>
          <w:rFonts w:ascii="Cambria" w:eastAsia="Cambria" w:hAnsi="Cambria" w:cs="Cambria"/>
          <w:b/>
          <w:bCs/>
          <w:color w:val="000000" w:themeColor="text1"/>
          <w:sz w:val="24"/>
          <w:szCs w:val="24"/>
        </w:rPr>
        <w:t>Enhancing Students' Enthusiasm for Learning PAI</w:t>
      </w:r>
    </w:p>
    <w:p w14:paraId="1A4BE196" w14:textId="74386504" w:rsidR="003B723A" w:rsidRPr="00323EAF" w:rsidRDefault="003B723A" w:rsidP="00C148A5">
      <w:pPr>
        <w:spacing w:after="120" w:line="240" w:lineRule="auto"/>
        <w:ind w:left="426" w:right="71" w:firstLine="567"/>
        <w:jc w:val="both"/>
        <w:rPr>
          <w:rFonts w:ascii="Cambria" w:eastAsia="Times New Roman" w:hAnsi="Cambria" w:cs="Times New Roman"/>
          <w:color w:val="000000" w:themeColor="text1"/>
          <w:sz w:val="24"/>
          <w:szCs w:val="24"/>
          <w:lang w:val="en-US" w:eastAsia="en-US"/>
        </w:rPr>
      </w:pPr>
      <w:r w:rsidRPr="00323EAF">
        <w:rPr>
          <w:rFonts w:ascii="Cambria" w:eastAsia="Times New Roman" w:hAnsi="Cambria" w:cs="Times New Roman"/>
          <w:color w:val="000000" w:themeColor="text1"/>
          <w:sz w:val="24"/>
          <w:szCs w:val="24"/>
          <w:lang w:val="en-US" w:eastAsia="en-US"/>
        </w:rPr>
        <w:t xml:space="preserve">The findings further indicate that the audio-visual and narrative elements in </w:t>
      </w:r>
      <w:proofErr w:type="spellStart"/>
      <w:r w:rsidRPr="00323EAF">
        <w:rPr>
          <w:rFonts w:ascii="Cambria" w:eastAsia="Times New Roman" w:hAnsi="Cambria" w:cs="Times New Roman"/>
          <w:color w:val="000000" w:themeColor="text1"/>
          <w:sz w:val="24"/>
          <w:szCs w:val="24"/>
          <w:lang w:val="en-US" w:eastAsia="en-US"/>
        </w:rPr>
        <w:t>Ruangngaji</w:t>
      </w:r>
      <w:proofErr w:type="spellEnd"/>
      <w:r w:rsidRPr="00323EAF">
        <w:rPr>
          <w:rFonts w:ascii="Cambria" w:eastAsia="Times New Roman" w:hAnsi="Cambria" w:cs="Times New Roman"/>
          <w:color w:val="000000" w:themeColor="text1"/>
          <w:sz w:val="24"/>
          <w:szCs w:val="24"/>
          <w:lang w:val="en-US" w:eastAsia="en-US"/>
        </w:rPr>
        <w:t xml:space="preserve"> contributed to students’ enthusiasm for learning PAI. Students who previously perceived PAI as a subject centered mainly on memorization began to experience it as a more interactive and enjoyable learning process. The presence of animated videos, dynamic storytelling, and Qur’anic learning content accompanied by sign language also shows that the platform attempts to present religious learning through multiple sensory modalities. This is relevant to the learning characteristics of madrasah </w:t>
      </w:r>
      <w:proofErr w:type="spellStart"/>
      <w:r w:rsidRPr="00323EAF">
        <w:rPr>
          <w:rFonts w:ascii="Cambria" w:eastAsia="Times New Roman" w:hAnsi="Cambria" w:cs="Times New Roman"/>
          <w:color w:val="000000" w:themeColor="text1"/>
          <w:sz w:val="24"/>
          <w:szCs w:val="24"/>
          <w:lang w:val="en-US" w:eastAsia="en-US"/>
        </w:rPr>
        <w:t>ibtidaiyah</w:t>
      </w:r>
      <w:proofErr w:type="spellEnd"/>
      <w:r w:rsidRPr="00323EAF">
        <w:rPr>
          <w:rFonts w:ascii="Cambria" w:eastAsia="Times New Roman" w:hAnsi="Cambria" w:cs="Times New Roman"/>
          <w:color w:val="000000" w:themeColor="text1"/>
          <w:sz w:val="24"/>
          <w:szCs w:val="24"/>
          <w:lang w:val="en-US" w:eastAsia="en-US"/>
        </w:rPr>
        <w:t xml:space="preserve"> students, who often need visual, auditory, and repeated exposure to understand religious materials more effectively. </w:t>
      </w:r>
      <w:r w:rsidR="00670B46" w:rsidRPr="00323EAF">
        <w:rPr>
          <w:rFonts w:ascii="Cambria" w:eastAsia="Times New Roman" w:hAnsi="Cambria" w:cs="Times New Roman"/>
          <w:color w:val="000000" w:themeColor="text1"/>
          <w:sz w:val="24"/>
          <w:szCs w:val="24"/>
          <w:lang w:val="en-US" w:eastAsia="en-US"/>
        </w:rPr>
        <w:fldChar w:fldCharType="begin" w:fldLock="1"/>
      </w:r>
      <w:r w:rsidR="00670B46" w:rsidRPr="00323EAF">
        <w:rPr>
          <w:rFonts w:ascii="Cambria" w:eastAsia="Times New Roman" w:hAnsi="Cambria" w:cs="Times New Roman"/>
          <w:color w:val="000000" w:themeColor="text1"/>
          <w:sz w:val="24"/>
          <w:szCs w:val="24"/>
          <w:lang w:val="en-US" w:eastAsia="en-US"/>
        </w:rPr>
        <w:instrText>ADDIN CSL_CITATION {"citationItems":[{"id":"ITEM-1","itemData":{"DOI":"10.59059/AL-TARBIYAH.V3I3.2479","ISSN":"2988-2265","abstract":"Dunia pendidikan telah dipengaruhi secara signifikan oleh pertumbuhan teknologi digital, khususnya upaya dalam meningkatkan motivasi belajar siswa. Tujuan dari kajian ini untuk efektivitas penggunaan media digital sebagai sarana untuk meningkatkan motivasi siswa sekolah dasar untuk belajar melalui metode literature review. Sebanyak 10 artikel ilmiah terbitan tahun 2020–2025 yang relevan dikaji secara mendalam menggunakan pendekatan naratif. Hasil penelitian menunjukkan bahwa media digital seperti E-LKPD, buku digital, video pembelajaran interaktif, aplikasi kuis edukatif, serta platform digital lainnya terbukti mampu membangun lingkungan belajar yang menarik, menyenangkan, dan partisipatif. Media tersebut meningkatkan partisipasi aktif, perhatian, dan semangat siswa dalam proses pembelajaran. Selain itu, motivasi intrinsik dan ekstrinsik siswa mengalami peningkatan karena penyajian materi yang lebih visual, fleksibel, dan kontekstual. Namun demikian, tantangan masih ditemukan, terutama terkait keterbatasan infrastruktur dan kompetensi guru dalam mengintegrasikan teknologi. Implikasi dari hasil penelitian ini menitikberatkan betapa pentingnya pengembangan kemampuan guru, penyediaan fasilitas teknologi yang memadai, dan pengembangan media pembelajaran digital yang adaptif dan inovatif. Harapan dari kajian ini sebagai referensi dalam perumusan kebijakan pendidikan serta strategi pembelajaran yang relevan dengan kebutuhan generasi digital masa kini.","author":[{"dropping-particle":"","family":"Syafaatussalamah","given":"As","non-dropping-particle":"","parse-names":false,"suffix":""},{"dropping-particle":"","family":"Eka Salsabilla","given":"Deandra","non-dropping-particle":"","parse-names":false,"suffix":""},{"dropping-particle":"","family":"Raya Mojosari","given":"Jl","non-dropping-particle":"","parse-names":false,"suffix":""}],"container-title":"Al-Tarbiyah : Jurnal Ilmu Pendidikan Islam","id":"ITEM-1","issue":"3","issued":{"date-parts":[["2025","6","10"]]},"page":"11-24","publisher":"Sekolah Tinggi Agama Islam Yayasan Pendidikan Islam Kaimuddin Baubau","title":"Efektivitas Penggunaan Media Digital dalam Meningkatkan Motivasi Belajar Siswa Sekolah Dasar","type":"article-journal","volume":"3"},"uris":["http://www.mendeley.com/documents/?uuid=a1effc77-cebb-35a2-97d3-38bc00ca8364"]}],"mendeley":{"formattedCitation":"(Syafaatussalamah et al., 2025)","plainTextFormattedCitation":"(Syafaatussalamah et al., 2025)","previouslyFormattedCitation":"(Syafaatussalamah et al., 2025)"},"properties":{"noteIndex":0},"schema":"https://github.com/citation-style-language/schema/raw/master/csl-citation.json"}</w:instrText>
      </w:r>
      <w:r w:rsidR="00670B46" w:rsidRPr="00323EAF">
        <w:rPr>
          <w:rFonts w:ascii="Cambria" w:eastAsia="Times New Roman" w:hAnsi="Cambria" w:cs="Times New Roman"/>
          <w:color w:val="000000" w:themeColor="text1"/>
          <w:sz w:val="24"/>
          <w:szCs w:val="24"/>
          <w:lang w:val="en-US" w:eastAsia="en-US"/>
        </w:rPr>
        <w:fldChar w:fldCharType="separate"/>
      </w:r>
      <w:r w:rsidR="00670B46" w:rsidRPr="00323EAF">
        <w:rPr>
          <w:rFonts w:ascii="Cambria" w:eastAsia="Times New Roman" w:hAnsi="Cambria" w:cs="Times New Roman"/>
          <w:noProof/>
          <w:color w:val="000000" w:themeColor="text1"/>
          <w:sz w:val="24"/>
          <w:szCs w:val="24"/>
          <w:lang w:val="en-US" w:eastAsia="en-US"/>
        </w:rPr>
        <w:t>Syafaatussalamah et al. (2025)</w:t>
      </w:r>
      <w:r w:rsidR="00670B46" w:rsidRPr="00323EAF">
        <w:rPr>
          <w:rFonts w:ascii="Cambria" w:eastAsia="Times New Roman" w:hAnsi="Cambria" w:cs="Times New Roman"/>
          <w:color w:val="000000" w:themeColor="text1"/>
          <w:sz w:val="24"/>
          <w:szCs w:val="24"/>
          <w:lang w:val="en-US" w:eastAsia="en-US"/>
        </w:rPr>
        <w:fldChar w:fldCharType="end"/>
      </w:r>
      <w:r w:rsidR="00670B46" w:rsidRPr="00323EAF">
        <w:rPr>
          <w:rFonts w:ascii="Cambria" w:eastAsia="Times New Roman" w:hAnsi="Cambria" w:cs="Times New Roman"/>
          <w:color w:val="000000" w:themeColor="text1"/>
          <w:sz w:val="24"/>
          <w:szCs w:val="24"/>
          <w:lang w:val="id-ID" w:eastAsia="en-US"/>
        </w:rPr>
        <w:t xml:space="preserve"> </w:t>
      </w:r>
      <w:r w:rsidRPr="00323EAF">
        <w:rPr>
          <w:rFonts w:ascii="Cambria" w:eastAsia="Times New Roman" w:hAnsi="Cambria" w:cs="Times New Roman"/>
          <w:color w:val="000000" w:themeColor="text1"/>
          <w:sz w:val="24"/>
          <w:szCs w:val="24"/>
          <w:lang w:val="en-US" w:eastAsia="en-US"/>
        </w:rPr>
        <w:t xml:space="preserve">emphasize that students’ learning enthusiasm consistently increases when instructional materials are presented through multiple sensory modalities. Likewise, </w:t>
      </w:r>
      <w:r w:rsidR="00670B46" w:rsidRPr="00323EAF">
        <w:rPr>
          <w:rFonts w:ascii="Cambria" w:eastAsia="Times New Roman" w:hAnsi="Cambria" w:cs="Times New Roman"/>
          <w:color w:val="000000" w:themeColor="text1"/>
          <w:sz w:val="24"/>
          <w:szCs w:val="24"/>
          <w:lang w:val="en-US" w:eastAsia="en-US"/>
        </w:rPr>
        <w:fldChar w:fldCharType="begin" w:fldLock="1"/>
      </w:r>
      <w:r w:rsidR="00670B46" w:rsidRPr="00323EAF">
        <w:rPr>
          <w:rFonts w:ascii="Cambria" w:eastAsia="Times New Roman" w:hAnsi="Cambria" w:cs="Times New Roman"/>
          <w:color w:val="000000" w:themeColor="text1"/>
          <w:sz w:val="24"/>
          <w:szCs w:val="24"/>
          <w:lang w:val="en-US" w:eastAsia="en-US"/>
        </w:rPr>
        <w:instrText>ADDIN CSL_CITATION {"citationItems":[{"id":"ITEM-1","itemData":{"ISSN":"2655-1365","author":[{"dropping-particle":"","family":"Melati","given":"Eka","non-dropping-particle":"","parse-names":false,"suffix":""},{"dropping-particle":"","family":"Dara Fayola","given":"Ayyesha","non-dropping-particle":"","parse-names":false,"suffix":""},{"dropping-particle":"","family":"Putu Agus Dharma Hita","given":"I","non-dropping-particle":"","parse-names":false,"suffix":""},{"dropping-particle":"","family":"Muh Akbar Saputra","given":"Andi","non-dropping-particle":"","parse-names":false,"suffix":""},{"dropping-particle":"","family":"Ninasari","given":"Anita","non-dropping-particle":"","parse-names":false,"suffix":""}],"container-title":"Journal on Education","id":"ITEM-1","issue":"01","issued":{"date-parts":[["2023"]]},"page":"732-741","title":"Pemanfaatan Animasi sebagai Media Pembelajaran Berbasis Teknologi untuk Meningkatkan Motivasi Belajar","type":"article-journal","volume":"06"},"uris":["http://www.mendeley.com/documents/?uuid=c25f0629-3865-32c6-b249-c3bc79858d28"]}],"mendeley":{"formattedCitation":"(Melati et al., 2023)","plainTextFormattedCitation":"(Melati et al., 2023)","previouslyFormattedCitation":"(Melati et al., 2023)"},"properties":{"noteIndex":0},"schema":"https://github.com/citation-style-language/schema/raw/master/csl-citation.json"}</w:instrText>
      </w:r>
      <w:r w:rsidR="00670B46" w:rsidRPr="00323EAF">
        <w:rPr>
          <w:rFonts w:ascii="Cambria" w:eastAsia="Times New Roman" w:hAnsi="Cambria" w:cs="Times New Roman"/>
          <w:color w:val="000000" w:themeColor="text1"/>
          <w:sz w:val="24"/>
          <w:szCs w:val="24"/>
          <w:lang w:val="en-US" w:eastAsia="en-US"/>
        </w:rPr>
        <w:fldChar w:fldCharType="separate"/>
      </w:r>
      <w:r w:rsidR="00670B46" w:rsidRPr="00323EAF">
        <w:rPr>
          <w:rFonts w:ascii="Cambria" w:eastAsia="Times New Roman" w:hAnsi="Cambria" w:cs="Times New Roman"/>
          <w:noProof/>
          <w:color w:val="000000" w:themeColor="text1"/>
          <w:sz w:val="24"/>
          <w:szCs w:val="24"/>
          <w:lang w:val="en-US" w:eastAsia="en-US"/>
        </w:rPr>
        <w:t>Melati et al. (2023)</w:t>
      </w:r>
      <w:r w:rsidR="00670B46" w:rsidRPr="00323EAF">
        <w:rPr>
          <w:rFonts w:ascii="Cambria" w:eastAsia="Times New Roman" w:hAnsi="Cambria" w:cs="Times New Roman"/>
          <w:color w:val="000000" w:themeColor="text1"/>
          <w:sz w:val="24"/>
          <w:szCs w:val="24"/>
          <w:lang w:val="en-US" w:eastAsia="en-US"/>
        </w:rPr>
        <w:fldChar w:fldCharType="end"/>
      </w:r>
      <w:r w:rsidR="00670B46" w:rsidRPr="00323EAF">
        <w:rPr>
          <w:rFonts w:ascii="Cambria" w:eastAsia="Times New Roman" w:hAnsi="Cambria" w:cs="Times New Roman"/>
          <w:color w:val="000000" w:themeColor="text1"/>
          <w:sz w:val="24"/>
          <w:szCs w:val="24"/>
          <w:lang w:val="en-US" w:eastAsia="en-US"/>
        </w:rPr>
        <w:t xml:space="preserve"> </w:t>
      </w:r>
      <w:r w:rsidRPr="00323EAF">
        <w:rPr>
          <w:rFonts w:ascii="Cambria" w:eastAsia="Times New Roman" w:hAnsi="Cambria" w:cs="Times New Roman"/>
          <w:color w:val="000000" w:themeColor="text1"/>
          <w:sz w:val="24"/>
          <w:szCs w:val="24"/>
          <w:lang w:val="en-US" w:eastAsia="en-US"/>
        </w:rPr>
        <w:t>confirmed that animation-based instructional media are effective in enhancing students’ learning motivation.</w:t>
      </w:r>
    </w:p>
    <w:p w14:paraId="0760FA1E" w14:textId="3BE76AD3" w:rsidR="00C148A5" w:rsidRPr="00323EAF" w:rsidRDefault="00C148A5" w:rsidP="00C148A5">
      <w:pPr>
        <w:numPr>
          <w:ilvl w:val="3"/>
          <w:numId w:val="1"/>
        </w:numPr>
        <w:pBdr>
          <w:top w:val="nil"/>
          <w:left w:val="nil"/>
          <w:bottom w:val="nil"/>
          <w:right w:val="nil"/>
          <w:between w:val="nil"/>
        </w:pBdr>
        <w:spacing w:after="0" w:line="240" w:lineRule="auto"/>
        <w:ind w:left="426" w:right="71"/>
        <w:jc w:val="both"/>
        <w:rPr>
          <w:rFonts w:asciiTheme="minorHAnsi" w:eastAsia="Cambria" w:hAnsiTheme="minorHAnsi" w:cs="Cambria"/>
          <w:b/>
          <w:bCs/>
          <w:color w:val="000000" w:themeColor="text1"/>
          <w:sz w:val="24"/>
          <w:szCs w:val="24"/>
          <w:highlight w:val="white"/>
        </w:rPr>
      </w:pPr>
      <w:r w:rsidRPr="00323EAF">
        <w:rPr>
          <w:rFonts w:asciiTheme="minorHAnsi" w:eastAsia="Cambria" w:hAnsiTheme="minorHAnsi" w:cs="Cambria"/>
          <w:b/>
          <w:bCs/>
          <w:color w:val="000000" w:themeColor="text1"/>
          <w:sz w:val="24"/>
          <w:szCs w:val="24"/>
        </w:rPr>
        <w:t>Facilitating Access to PAI Learning Materials</w:t>
      </w:r>
    </w:p>
    <w:p w14:paraId="278154F7" w14:textId="02BD1CC0" w:rsidR="003B723A" w:rsidRPr="00323EAF" w:rsidRDefault="003B723A" w:rsidP="003B723A">
      <w:pPr>
        <w:spacing w:after="0" w:line="240" w:lineRule="auto"/>
        <w:ind w:left="426" w:right="71" w:firstLine="567"/>
        <w:jc w:val="both"/>
        <w:rPr>
          <w:rFonts w:asciiTheme="minorHAnsi" w:eastAsia="Times New Roman" w:hAnsiTheme="minorHAnsi" w:cstheme="majorBidi"/>
          <w:color w:val="000000" w:themeColor="text1"/>
          <w:sz w:val="24"/>
          <w:szCs w:val="24"/>
        </w:rPr>
      </w:pPr>
      <w:proofErr w:type="spellStart"/>
      <w:r w:rsidRPr="00323EAF">
        <w:rPr>
          <w:rFonts w:asciiTheme="minorHAnsi" w:eastAsia="Times New Roman" w:hAnsiTheme="minorHAnsi" w:cstheme="majorBidi"/>
          <w:color w:val="000000" w:themeColor="text1"/>
          <w:sz w:val="24"/>
          <w:szCs w:val="24"/>
        </w:rPr>
        <w:t>Ruangguru</w:t>
      </w:r>
      <w:proofErr w:type="spellEnd"/>
      <w:r w:rsidRPr="00323EAF">
        <w:rPr>
          <w:rFonts w:asciiTheme="minorHAnsi" w:eastAsia="Times New Roman" w:hAnsiTheme="minorHAnsi" w:cstheme="majorBidi"/>
          <w:color w:val="000000" w:themeColor="text1"/>
          <w:sz w:val="24"/>
          <w:szCs w:val="24"/>
        </w:rPr>
        <w:t xml:space="preserve"> also facilitates students’ access to PAI learning materials beyond classroom time. Students can access the </w:t>
      </w:r>
      <w:proofErr w:type="spellStart"/>
      <w:r w:rsidRPr="00323EAF">
        <w:rPr>
          <w:rFonts w:asciiTheme="minorHAnsi" w:eastAsia="Times New Roman" w:hAnsiTheme="minorHAnsi" w:cstheme="majorBidi"/>
          <w:color w:val="000000" w:themeColor="text1"/>
          <w:sz w:val="24"/>
          <w:szCs w:val="24"/>
        </w:rPr>
        <w:t>Ruangngaji</w:t>
      </w:r>
      <w:proofErr w:type="spellEnd"/>
      <w:r w:rsidRPr="00323EAF">
        <w:rPr>
          <w:rFonts w:asciiTheme="minorHAnsi" w:eastAsia="Times New Roman" w:hAnsiTheme="minorHAnsi" w:cstheme="majorBidi"/>
          <w:color w:val="000000" w:themeColor="text1"/>
          <w:sz w:val="24"/>
          <w:szCs w:val="24"/>
        </w:rPr>
        <w:t xml:space="preserve"> materials anytime and anywhere as long as their devices are connected to the internet. This flexibility allows students to review lessons repeatedly, especially when preparing for examinations or when they need to strengthen their understanding of specific materials. Infographic summaries also help students revisit the main ideas of the learning materials in a concise and visually organized form. </w:t>
      </w:r>
      <w:r w:rsidR="00670B46" w:rsidRPr="00323EAF">
        <w:rPr>
          <w:rFonts w:ascii="Cambria" w:eastAsia="Times New Roman" w:hAnsi="Cambria" w:cstheme="majorBidi"/>
          <w:color w:val="000000" w:themeColor="text1"/>
          <w:sz w:val="24"/>
          <w:szCs w:val="24"/>
        </w:rPr>
        <w:fldChar w:fldCharType="begin" w:fldLock="1"/>
      </w:r>
      <w:r w:rsidR="00670B46" w:rsidRPr="00323EAF">
        <w:rPr>
          <w:rFonts w:ascii="Cambria" w:eastAsia="Times New Roman" w:hAnsi="Cambria" w:cstheme="majorBidi"/>
          <w:color w:val="000000" w:themeColor="text1"/>
          <w:sz w:val="24"/>
          <w:szCs w:val="24"/>
        </w:rPr>
        <w:instrText>ADDIN CSL_CITATION {"citationItems":[{"id":"ITEM-1","itemData":{"ISSN":"2355-0104","abstract":"Interest in learning is something that is very urgent, therefore, interest in learning must continue to be formed and created and grown in all students so that later they will be successful in carrying out educational programs. The task of increasing interest in learning is a joint task, but those who have a role and closeness to students are subject teachers who often interact with them, so the creativity and innovation of subject teachers in using learning media is very important, especially in increasing interest in learning. This study aims to a) determine the effectiveness of infographic-based learning media in shaping student learning interest, b) determine the effect of infographic learning media on increasing student interest in learning. This type of research is qualitative research using a descriptive approach. There are 3 stages used in this study including data reduction, data presentation, verification and drawing conclusions. In the expert test, 2 experts were carried out, namely media experts and material experts to determine the feasibility of the product. The results of the study show that a) infographic learning media is very effective in shaping student interest in learning b) the resulting infographic learning media has the characteristics of providing feedback with automatic reinforcement, adjusting to speed, opportunity, and needs of students has visual appeal, provide different learning experiences. The implication of this research is that learning media in the form of infographics can increase student interest in learning because learning outcomes will improve by using the right learning media.","author":[{"dropping-particle":"","family":"Faizah","given":"Leily Indah","non-dropping-particle":"","parse-names":false,"suffix":""},{"dropping-particle":"","family":"Ma'ruf","given":"Amar","non-dropping-particle":"","parse-names":false,"suffix":""},{"dropping-particle":"","family":"Rosyidah","given":"Evi Fatimatur","non-dropping-particle":"","parse-names":false,"suffix":""}],"container-title":"Al-Ulum Jurnal Pemikiran dan Penelitian ke Islaman","id":"ITEM-1","issue":"1","issued":{"date-parts":[["2023"]]},"page":"Purwanza, Sena Wahyu, Aditya Wardhana, Ainul Mufid","title":"Media Pembelajaran Infografis dalam Membentuk Minat Belajar Siswa Pada Mata Pelajaran Aqidah Akhlak di Madrasah Aliyah Raudhatul Banath di Sidoarjo","type":"article-journal","volume":"10"},"uris":["http://www.mendeley.com/documents/?uuid=2c0754c3-fb0b-4221-bae5-9f7eb6e8edca"]}],"mendeley":{"formattedCitation":"(Faizah et al., 2023)","plainTextFormattedCitation":"(Faizah et al., 2023)","previouslyFormattedCitation":"(Faizah et al., 2023)"},"properties":{"noteIndex":0},"schema":"https://github.com/citation-style-language/schema/raw/master/csl-citation.json"}</w:instrText>
      </w:r>
      <w:r w:rsidR="00670B46" w:rsidRPr="00323EAF">
        <w:rPr>
          <w:rFonts w:ascii="Cambria" w:eastAsia="Times New Roman" w:hAnsi="Cambria" w:cstheme="majorBidi"/>
          <w:color w:val="000000" w:themeColor="text1"/>
          <w:sz w:val="24"/>
          <w:szCs w:val="24"/>
        </w:rPr>
        <w:fldChar w:fldCharType="separate"/>
      </w:r>
      <w:r w:rsidR="00670B46" w:rsidRPr="00323EAF">
        <w:rPr>
          <w:rFonts w:ascii="Cambria" w:eastAsia="Times New Roman" w:hAnsi="Cambria" w:cstheme="majorBidi"/>
          <w:noProof/>
          <w:color w:val="000000" w:themeColor="text1"/>
          <w:sz w:val="24"/>
          <w:szCs w:val="24"/>
        </w:rPr>
        <w:t>Faizah et al. (2023)</w:t>
      </w:r>
      <w:r w:rsidR="00670B46" w:rsidRPr="00323EAF">
        <w:rPr>
          <w:rFonts w:ascii="Cambria" w:eastAsia="Times New Roman" w:hAnsi="Cambria" w:cstheme="majorBidi"/>
          <w:color w:val="000000" w:themeColor="text1"/>
          <w:sz w:val="24"/>
          <w:szCs w:val="24"/>
        </w:rPr>
        <w:fldChar w:fldCharType="end"/>
      </w:r>
      <w:r w:rsidR="00670B46" w:rsidRPr="00323EAF">
        <w:rPr>
          <w:rFonts w:ascii="Cambria" w:eastAsia="Times New Roman" w:hAnsi="Cambria" w:cstheme="majorBidi"/>
          <w:color w:val="000000" w:themeColor="text1"/>
          <w:sz w:val="24"/>
          <w:szCs w:val="24"/>
          <w:lang w:val="id-ID"/>
        </w:rPr>
        <w:t xml:space="preserve"> </w:t>
      </w:r>
      <w:r w:rsidRPr="00323EAF">
        <w:rPr>
          <w:rFonts w:asciiTheme="minorHAnsi" w:eastAsia="Times New Roman" w:hAnsiTheme="minorHAnsi" w:cstheme="majorBidi"/>
          <w:color w:val="000000" w:themeColor="text1"/>
          <w:sz w:val="24"/>
          <w:szCs w:val="24"/>
        </w:rPr>
        <w:t xml:space="preserve">explain that infographic-based media play a significant role in enhancing students’ interest in learning religious education because visually presented content is easier to comprehend and remember. Similarly, </w:t>
      </w:r>
      <w:r w:rsidR="00670B46" w:rsidRPr="00323EAF">
        <w:rPr>
          <w:rFonts w:ascii="Cambria" w:eastAsia="Times New Roman" w:hAnsi="Cambria" w:cstheme="majorBidi"/>
          <w:color w:val="000000" w:themeColor="text1"/>
          <w:sz w:val="24"/>
          <w:szCs w:val="24"/>
        </w:rPr>
        <w:fldChar w:fldCharType="begin" w:fldLock="1"/>
      </w:r>
      <w:r w:rsidR="00670B46" w:rsidRPr="00323EAF">
        <w:rPr>
          <w:rFonts w:ascii="Cambria" w:eastAsia="Times New Roman" w:hAnsi="Cambria" w:cstheme="majorBidi"/>
          <w:color w:val="000000" w:themeColor="text1"/>
          <w:sz w:val="24"/>
          <w:szCs w:val="24"/>
        </w:rPr>
        <w:instrText>ADDIN CSL_CITATION {"citationItems":[{"id":"ITEM-1","itemData":{"DOI":"10.17977/UM022V7I12022P11","ISSN":"2503-5347","abstract":"Penelitian ini bertujuan untuk mengetahui efektivitas media pembelajaran berbasis infografis terhadap hasil belajar siswa pada mata pelajaran Ilmu Pengetahuan Sosial. Penelitian ini merupakan jenis penelitian kualitatif dengan menggunakan metode survei. Teknik pengambilan sampel yaitu purposive sampling, yang berdasarkan kriteria subjek penelitian sebanyak 20 siswa pada satu kelas di mata pelajaran IPS. Dokumentasi dan tes penilaian berupa pre-test dan post-test merupakan teknik pengambilan data pada penelitian ini. Data yang diperoleh dianalisis melalui uji Paired Sample t-tes. Berdasarkan pada hasil uji pre-test dan post-test disimpulkan bahwa pemanfaatan media pembelajaran berbasis infografis berpengaruh terhadap hasil belajar siswa.","author":[{"dropping-particle":"","family":"Masluhah","given":"","non-dropping-particle":"","parse-names":false,"suffix":""},{"dropping-particle":"","family":"Rizkiatul Afifah","given":"Kiki","non-dropping-particle":"","parse-names":false,"suffix":""},{"dropping-particle":"","family":"Hafid","given":"Ahmad","non-dropping-particle":"","parse-names":false,"suffix":""}],"container-title":"Jurnal Teori dan Praksis Pembelajaran IPS","id":"ITEM-1","issue":"1","issued":{"date-parts":[["2022","5","1"]]},"page":"11-20","publisher":"State University of Malang (UM)","title":"Efektivitas Media Pembelajaran Berbasis Infografis terhadap Hasil Belajar Siswa Pada Mata Pelajaran IPS","type":"article-journal","volume":"7"},"uris":["http://www.mendeley.com/documents/?uuid=6500c5fe-bcec-3090-b4d1-cb5d469d4314"]}],"mendeley":{"formattedCitation":"(Masluhah et al., 2022)","plainTextFormattedCitation":"(Masluhah et al., 2022)","previouslyFormattedCitation":"(Masluhah et al., 2022)"},"properties":{"noteIndex":0},"schema":"https://github.com/citation-style-language/schema/raw/master/csl-citation.json"}</w:instrText>
      </w:r>
      <w:r w:rsidR="00670B46" w:rsidRPr="00323EAF">
        <w:rPr>
          <w:rFonts w:ascii="Cambria" w:eastAsia="Times New Roman" w:hAnsi="Cambria" w:cstheme="majorBidi"/>
          <w:color w:val="000000" w:themeColor="text1"/>
          <w:sz w:val="24"/>
          <w:szCs w:val="24"/>
        </w:rPr>
        <w:fldChar w:fldCharType="separate"/>
      </w:r>
      <w:r w:rsidR="00670B46" w:rsidRPr="00323EAF">
        <w:rPr>
          <w:rFonts w:ascii="Cambria" w:eastAsia="Times New Roman" w:hAnsi="Cambria" w:cstheme="majorBidi"/>
          <w:noProof/>
          <w:color w:val="000000" w:themeColor="text1"/>
          <w:sz w:val="24"/>
          <w:szCs w:val="24"/>
        </w:rPr>
        <w:t>Masluhah et al. (2022)</w:t>
      </w:r>
      <w:r w:rsidR="00670B46" w:rsidRPr="00323EAF">
        <w:rPr>
          <w:rFonts w:ascii="Cambria" w:eastAsia="Times New Roman" w:hAnsi="Cambria" w:cstheme="majorBidi"/>
          <w:color w:val="000000" w:themeColor="text1"/>
          <w:sz w:val="24"/>
          <w:szCs w:val="24"/>
        </w:rPr>
        <w:fldChar w:fldCharType="end"/>
      </w:r>
      <w:r w:rsidR="00670B46" w:rsidRPr="00323EAF">
        <w:rPr>
          <w:rFonts w:ascii="Cambria" w:eastAsia="Times New Roman" w:hAnsi="Cambria" w:cstheme="majorBidi"/>
          <w:color w:val="000000" w:themeColor="text1"/>
          <w:sz w:val="24"/>
          <w:szCs w:val="24"/>
          <w:lang w:val="id-ID"/>
        </w:rPr>
        <w:t xml:space="preserve"> </w:t>
      </w:r>
      <w:r w:rsidRPr="00323EAF">
        <w:rPr>
          <w:rFonts w:asciiTheme="minorHAnsi" w:eastAsia="Times New Roman" w:hAnsiTheme="minorHAnsi" w:cstheme="majorBidi"/>
          <w:color w:val="000000" w:themeColor="text1"/>
          <w:sz w:val="24"/>
          <w:szCs w:val="24"/>
        </w:rPr>
        <w:t xml:space="preserve">found that infographic-based instructional media significantly improve students’ learning outcomes compared with the conventional presentation of materials in text-only format. </w:t>
      </w:r>
      <w:r w:rsidR="00670B46" w:rsidRPr="00323EAF">
        <w:rPr>
          <w:rFonts w:asciiTheme="minorHAnsi" w:eastAsia="Times New Roman" w:hAnsiTheme="minorHAnsi" w:cstheme="majorBidi"/>
          <w:color w:val="000000" w:themeColor="text1"/>
          <w:sz w:val="24"/>
          <w:szCs w:val="24"/>
        </w:rPr>
        <w:fldChar w:fldCharType="begin" w:fldLock="1"/>
      </w:r>
      <w:r w:rsidR="00670B46" w:rsidRPr="00323EAF">
        <w:rPr>
          <w:rFonts w:asciiTheme="minorHAnsi" w:eastAsia="Times New Roman" w:hAnsiTheme="minorHAnsi" w:cstheme="majorBidi"/>
          <w:color w:val="000000" w:themeColor="text1"/>
          <w:sz w:val="24"/>
          <w:szCs w:val="24"/>
        </w:rPr>
        <w:instrText>ADDIN CSL_CITATION {"citationItems":[{"id":"ITEM-1","itemData":{"DOI":"10.30880/JSTARD.2022.04.02.007","abstract":"This study aims to explain and describe how the implementation of learning using the Quizizz educational game media in increasing students' learning motivation during the Covid-19 pandemic in learning Islamic religious education. In this study the authors used a qualitative approach, the data sources were obtained from interviews, observations and documentation to teachers and students of SMAN 1 Campaka class X MIPA 1 and 2. The theoretical analysis used was Leony about learning media with Quizizz and Sardiman AM theory for analysis. motivation to learn.Based on data analysis, it can be concluded that: (1)The implementation of the Quizizz educational game media is well implemented, creating effective and fun learning and responding to the challenges of teachers in the very rapid development of the times and the emergence of the Covid-19 pandemic which requires learning to be carried out remotely, the impact of using Quizizz is to increase learning motivation, learning that attracts students' enthusiasm and interest in learning, a busy but still conducive learning environment (2) Supporting factors for the application of Quizizz media are the availability of facilities in the form of projectors, loudspeakers, electrical connecting cables, wifi in every class, while the inhibiting factor is the internet network which is less strong and stable (3) the results of the learning evaluation show a very good score, the highest score is 100% and the lowest score is 53%.","author":[{"dropping-particle":"","family":"Firdaus","given":"Anggi Asmara","non-dropping-particle":"","parse-names":false,"suffix":""},{"dropping-particle":"","family":"Tabroni","given":"Imam","non-dropping-particle":"","parse-names":false,"suffix":""},{"dropping-particle":"","family":"Megawati","given":"Irma","non-dropping-particle":"","parse-names":false,"suffix":""}],"container-title":"Journal of Social Transformation and Regional Development","id":"ITEM-1","issue":"2","issued":{"date-parts":[["2022","12","15"]]},"publisher":"Penerbit UTHM","title":"Implementation of Quizizz Educational Game Media in Increasing Students' Learning Motivation During the Covid-19 Pandemic in Islamic Religious Education Learning","type":"article-journal","volume":"4"},"uris":["http://www.mendeley.com/documents/?uuid=2d1cbfd6-34af-3882-8460-9d25d6ef23f7"]}],"mendeley":{"formattedCitation":"(A. A. Firdaus et al., 2022)","plainTextFormattedCitation":"(A. A. Firdaus et al., 2022)","previouslyFormattedCitation":"(A. A. Firdaus et al., 2022)"},"properties":{"noteIndex":0},"schema":"https://github.com/citation-style-language/schema/raw/master/csl-citation.json"}</w:instrText>
      </w:r>
      <w:r w:rsidR="00670B46" w:rsidRPr="00323EAF">
        <w:rPr>
          <w:rFonts w:asciiTheme="minorHAnsi" w:eastAsia="Times New Roman" w:hAnsiTheme="minorHAnsi" w:cstheme="majorBidi"/>
          <w:color w:val="000000" w:themeColor="text1"/>
          <w:sz w:val="24"/>
          <w:szCs w:val="24"/>
        </w:rPr>
        <w:fldChar w:fldCharType="separate"/>
      </w:r>
      <w:r w:rsidR="00670B46" w:rsidRPr="00323EAF">
        <w:rPr>
          <w:rFonts w:asciiTheme="minorHAnsi" w:eastAsia="Times New Roman" w:hAnsiTheme="minorHAnsi" w:cstheme="majorBidi"/>
          <w:noProof/>
          <w:color w:val="000000" w:themeColor="text1"/>
          <w:sz w:val="24"/>
          <w:szCs w:val="24"/>
        </w:rPr>
        <w:t>Firdaus et al. (2022)</w:t>
      </w:r>
      <w:r w:rsidR="00670B46" w:rsidRPr="00323EAF">
        <w:rPr>
          <w:rFonts w:asciiTheme="minorHAnsi" w:eastAsia="Times New Roman" w:hAnsiTheme="minorHAnsi" w:cstheme="majorBidi"/>
          <w:color w:val="000000" w:themeColor="text1"/>
          <w:sz w:val="24"/>
          <w:szCs w:val="24"/>
        </w:rPr>
        <w:fldChar w:fldCharType="end"/>
      </w:r>
      <w:r w:rsidR="00670B46" w:rsidRPr="00323EAF">
        <w:rPr>
          <w:rFonts w:asciiTheme="minorHAnsi" w:eastAsia="Times New Roman" w:hAnsiTheme="minorHAnsi" w:cstheme="majorBidi"/>
          <w:color w:val="000000" w:themeColor="text1"/>
          <w:sz w:val="24"/>
          <w:szCs w:val="24"/>
        </w:rPr>
        <w:t xml:space="preserve"> </w:t>
      </w:r>
      <w:r w:rsidRPr="00323EAF">
        <w:rPr>
          <w:rFonts w:asciiTheme="minorHAnsi" w:eastAsia="Times New Roman" w:hAnsiTheme="minorHAnsi" w:cstheme="majorBidi"/>
          <w:color w:val="000000" w:themeColor="text1"/>
          <w:sz w:val="24"/>
          <w:szCs w:val="24"/>
        </w:rPr>
        <w:t xml:space="preserve">also found that technology-based learning media that enable independent and repeated access to instructional materials promote more consistent mastery of the subject matter than learning methods that rely solely on face-to-face instruction. Likewise, </w:t>
      </w:r>
      <w:r w:rsidR="00670B46" w:rsidRPr="00323EAF">
        <w:rPr>
          <w:rFonts w:asciiTheme="minorHAnsi" w:eastAsia="Times New Roman" w:hAnsiTheme="minorHAnsi" w:cstheme="majorBidi"/>
          <w:color w:val="000000" w:themeColor="text1"/>
          <w:sz w:val="24"/>
          <w:szCs w:val="24"/>
        </w:rPr>
        <w:fldChar w:fldCharType="begin" w:fldLock="1"/>
      </w:r>
      <w:r w:rsidR="00670B46" w:rsidRPr="00323EAF">
        <w:rPr>
          <w:rFonts w:asciiTheme="minorHAnsi" w:eastAsia="Times New Roman" w:hAnsiTheme="minorHAnsi" w:cstheme="majorBidi"/>
          <w:color w:val="000000" w:themeColor="text1"/>
          <w:sz w:val="24"/>
          <w:szCs w:val="24"/>
        </w:rPr>
        <w:instrText>ADDIN CSL_CITATION {"citationItems":[{"id":"ITEM-1","itemData":{"DOI":"10.51875/JISPE.V5I01.297","ISSN":"2774-5619","abstract":"The PBL model assisted by abacus media can improve students' mathematics learning achievement in arithmetic operations material because there are quite a few children whose learning achievement tends to be low in mathematics. This research aims to describe the increase in mathematics learning achievement using the PBL model. This research is Classroom Action Research which was carried out in two cycles with two meetings in each cycle. The subjects in this research were 25 students consisting of 10 male students and 15 female students at MI Nurul Falah. The data collection technique consists of three stages, namely observation, testing, and documentation. This research was carried out in 2 cycles, with each cycle consisting of: 1) Planning, 2) Implementation, 3) Observation, 4) Reflection. The data analysis technique is to see the increase in learning outcomes from 2 learning cycles with a limit of 80% reaching a KKM score of 60. The research results found that after implementing the learning method with the help of the abacus media, the test results in cycles I and II showed that students' learning achievement scores increased. 22 students or 88% of the total number of students have completed and 3 others have not yet finished. If compared with the learning achievement in cycle I, 60% of students had completed their studies, then the student achievement score increased by 28% in the number of students who had completed their studies. From the explanation above, it can be concluded that classroom action research carried out by researchers can improve student learning achievement in the field of mathematics.","author":[{"dropping-particle":"","family":"Setiyadi","given":"Desi","non-dropping-particle":"","parse-names":false,"suffix":""},{"dropping-particle":"","family":"Rohayati","given":"Ika","non-dropping-particle":"","parse-names":false,"suffix":""},{"dropping-particle":"","family":"Zubaidi","given":"","non-dropping-particle":"","parse-names":false,"suffix":""}],"container-title":"JISPE Journal of Islamic Primary Education","id":"ITEM-1","issue":"01","issued":{"date-parts":[["2024","6","30"]]},"page":"30-44","publisher":"Institut Daarul Quran","title":"UPAYA MENINGKATKAN PRESTASI BELAJAR MATEMATIKA DENGAN MENGGUNAKAN PBL BERBANTUAN MEDIA SEMPOA PADA OPERASI HITUNG SISWA MI","type":"article-journal","volume":"5"},"uris":["http://www.mendeley.com/documents/?uuid=111fe7c7-cdf3-314b-928b-ba5a9589aa81"]}],"mendeley":{"formattedCitation":"(Setiyadi et al., 2024)","plainTextFormattedCitation":"(Setiyadi et al., 2024)","previouslyFormattedCitation":"(Setiyadi et al., 2024)"},"properties":{"noteIndex":0},"schema":"https://github.com/citation-style-language/schema/raw/master/csl-citation.json"}</w:instrText>
      </w:r>
      <w:r w:rsidR="00670B46" w:rsidRPr="00323EAF">
        <w:rPr>
          <w:rFonts w:asciiTheme="minorHAnsi" w:eastAsia="Times New Roman" w:hAnsiTheme="minorHAnsi" w:cstheme="majorBidi"/>
          <w:color w:val="000000" w:themeColor="text1"/>
          <w:sz w:val="24"/>
          <w:szCs w:val="24"/>
        </w:rPr>
        <w:fldChar w:fldCharType="separate"/>
      </w:r>
      <w:r w:rsidR="00670B46" w:rsidRPr="00323EAF">
        <w:rPr>
          <w:rFonts w:asciiTheme="minorHAnsi" w:eastAsia="Times New Roman" w:hAnsiTheme="minorHAnsi" w:cstheme="majorBidi"/>
          <w:noProof/>
          <w:color w:val="000000" w:themeColor="text1"/>
          <w:sz w:val="24"/>
          <w:szCs w:val="24"/>
        </w:rPr>
        <w:t>Setiyadi et al. (2024)</w:t>
      </w:r>
      <w:r w:rsidR="00670B46" w:rsidRPr="00323EAF">
        <w:rPr>
          <w:rFonts w:asciiTheme="minorHAnsi" w:eastAsia="Times New Roman" w:hAnsiTheme="minorHAnsi" w:cstheme="majorBidi"/>
          <w:color w:val="000000" w:themeColor="text1"/>
          <w:sz w:val="24"/>
          <w:szCs w:val="24"/>
        </w:rPr>
        <w:fldChar w:fldCharType="end"/>
      </w:r>
      <w:r w:rsidR="00670B46" w:rsidRPr="00323EAF">
        <w:rPr>
          <w:rFonts w:asciiTheme="minorHAnsi" w:eastAsia="Times New Roman" w:hAnsiTheme="minorHAnsi" w:cstheme="majorBidi"/>
          <w:color w:val="000000" w:themeColor="text1"/>
          <w:sz w:val="24"/>
          <w:szCs w:val="24"/>
          <w:lang w:val="id-ID"/>
        </w:rPr>
        <w:t xml:space="preserve"> </w:t>
      </w:r>
      <w:r w:rsidRPr="00323EAF">
        <w:rPr>
          <w:rFonts w:asciiTheme="minorHAnsi" w:eastAsia="Times New Roman" w:hAnsiTheme="minorHAnsi" w:cstheme="majorBidi"/>
          <w:color w:val="000000" w:themeColor="text1"/>
          <w:sz w:val="24"/>
          <w:szCs w:val="24"/>
        </w:rPr>
        <w:t>confirmed that the availability of practice exercises accessible at any time is one of the strongest predictors of improved academic achievement among elementary school students.</w:t>
      </w:r>
    </w:p>
    <w:p w14:paraId="55C3738A" w14:textId="0AA63D5E" w:rsidR="003B723A" w:rsidRPr="00323EAF" w:rsidRDefault="003B723A" w:rsidP="003B723A">
      <w:pPr>
        <w:spacing w:after="0" w:line="240" w:lineRule="auto"/>
        <w:ind w:left="426" w:right="71" w:firstLine="567"/>
        <w:jc w:val="both"/>
        <w:rPr>
          <w:rFonts w:asciiTheme="minorHAnsi" w:eastAsia="Times New Roman" w:hAnsiTheme="minorHAnsi" w:cstheme="majorBidi"/>
          <w:color w:val="000000" w:themeColor="text1"/>
          <w:sz w:val="24"/>
          <w:szCs w:val="24"/>
        </w:rPr>
      </w:pPr>
      <w:r w:rsidRPr="00323EAF">
        <w:rPr>
          <w:rFonts w:asciiTheme="minorHAnsi" w:eastAsia="Times New Roman" w:hAnsiTheme="minorHAnsi" w:cstheme="majorBidi"/>
          <w:color w:val="000000" w:themeColor="text1"/>
          <w:sz w:val="24"/>
          <w:szCs w:val="24"/>
        </w:rPr>
        <w:t xml:space="preserve">Although the majority of participants expressed positive perceptions of the </w:t>
      </w:r>
      <w:proofErr w:type="spellStart"/>
      <w:r w:rsidRPr="00323EAF">
        <w:rPr>
          <w:rFonts w:asciiTheme="minorHAnsi" w:eastAsia="Times New Roman" w:hAnsiTheme="minorHAnsi" w:cstheme="majorBidi"/>
          <w:color w:val="000000" w:themeColor="text1"/>
          <w:sz w:val="24"/>
          <w:szCs w:val="24"/>
        </w:rPr>
        <w:t>Ruangngaji</w:t>
      </w:r>
      <w:proofErr w:type="spellEnd"/>
      <w:r w:rsidRPr="00323EAF">
        <w:rPr>
          <w:rFonts w:asciiTheme="minorHAnsi" w:eastAsia="Times New Roman" w:hAnsiTheme="minorHAnsi" w:cstheme="majorBidi"/>
          <w:color w:val="000000" w:themeColor="text1"/>
          <w:sz w:val="24"/>
          <w:szCs w:val="24"/>
        </w:rPr>
        <w:t xml:space="preserve"> feature, the findings should be interpreted carefully. This study did not identify substantial differences in participants’ views regarding the challenges of using the platform, which may be influenced by the fact that all participants were active </w:t>
      </w:r>
      <w:proofErr w:type="spellStart"/>
      <w:r w:rsidRPr="00323EAF">
        <w:rPr>
          <w:rFonts w:asciiTheme="minorHAnsi" w:eastAsia="Times New Roman" w:hAnsiTheme="minorHAnsi" w:cstheme="majorBidi"/>
          <w:color w:val="000000" w:themeColor="text1"/>
          <w:sz w:val="24"/>
          <w:szCs w:val="24"/>
        </w:rPr>
        <w:t>Ruangguru</w:t>
      </w:r>
      <w:proofErr w:type="spellEnd"/>
      <w:r w:rsidRPr="00323EAF">
        <w:rPr>
          <w:rFonts w:asciiTheme="minorHAnsi" w:eastAsia="Times New Roman" w:hAnsiTheme="minorHAnsi" w:cstheme="majorBidi"/>
          <w:color w:val="000000" w:themeColor="text1"/>
          <w:sz w:val="24"/>
          <w:szCs w:val="24"/>
        </w:rPr>
        <w:t xml:space="preserve"> users and therefore had relatively positive experiences with the platform. In addition, </w:t>
      </w:r>
      <w:proofErr w:type="spellStart"/>
      <w:r w:rsidRPr="00323EAF">
        <w:rPr>
          <w:rFonts w:asciiTheme="minorHAnsi" w:eastAsia="Times New Roman" w:hAnsiTheme="minorHAnsi" w:cstheme="majorBidi"/>
          <w:color w:val="000000" w:themeColor="text1"/>
          <w:sz w:val="24"/>
          <w:szCs w:val="24"/>
        </w:rPr>
        <w:t>Ruangguru</w:t>
      </w:r>
      <w:proofErr w:type="spellEnd"/>
      <w:r w:rsidRPr="00323EAF">
        <w:rPr>
          <w:rFonts w:asciiTheme="minorHAnsi" w:eastAsia="Times New Roman" w:hAnsiTheme="minorHAnsi" w:cstheme="majorBidi"/>
          <w:color w:val="000000" w:themeColor="text1"/>
          <w:sz w:val="24"/>
          <w:szCs w:val="24"/>
        </w:rPr>
        <w:t xml:space="preserve"> should not be understood as a replacement for teachers, but as a complementary digital learning resource that can support classroom instruction, parental supervision, and students’ independent learning. Accordingly, future studies should involve participants with more diverse levels of platform usage, compare </w:t>
      </w:r>
      <w:proofErr w:type="spellStart"/>
      <w:r w:rsidRPr="00323EAF">
        <w:rPr>
          <w:rFonts w:asciiTheme="minorHAnsi" w:eastAsia="Times New Roman" w:hAnsiTheme="minorHAnsi" w:cstheme="majorBidi"/>
          <w:color w:val="000000" w:themeColor="text1"/>
          <w:sz w:val="24"/>
          <w:szCs w:val="24"/>
        </w:rPr>
        <w:t>Ruangguru</w:t>
      </w:r>
      <w:proofErr w:type="spellEnd"/>
      <w:r w:rsidRPr="00323EAF">
        <w:rPr>
          <w:rFonts w:asciiTheme="minorHAnsi" w:eastAsia="Times New Roman" w:hAnsiTheme="minorHAnsi" w:cstheme="majorBidi"/>
          <w:color w:val="000000" w:themeColor="text1"/>
          <w:sz w:val="24"/>
          <w:szCs w:val="24"/>
        </w:rPr>
        <w:t xml:space="preserve"> with other e-learning platforms, and examine the long-term effects of digital tutoring on students’ learning outcomes, learning motivation, digital literacy, and religious character development.</w:t>
      </w:r>
    </w:p>
    <w:p w14:paraId="7D71A688" w14:textId="77777777" w:rsidR="00EF63EC" w:rsidRDefault="00EF63EC" w:rsidP="00EF63EC">
      <w:pPr>
        <w:spacing w:after="0" w:line="240" w:lineRule="auto"/>
        <w:ind w:left="426" w:right="71" w:firstLine="567"/>
        <w:jc w:val="both"/>
        <w:rPr>
          <w:rFonts w:ascii="Cambria" w:eastAsia="Cambria" w:hAnsi="Cambria" w:cs="Cambria"/>
          <w:sz w:val="24"/>
          <w:szCs w:val="24"/>
          <w:highlight w:val="white"/>
        </w:rPr>
      </w:pPr>
    </w:p>
    <w:p w14:paraId="7F381B1F" w14:textId="77777777" w:rsidR="0039525E" w:rsidRDefault="00320985" w:rsidP="00C148A5">
      <w:pPr>
        <w:numPr>
          <w:ilvl w:val="0"/>
          <w:numId w:val="1"/>
        </w:numPr>
        <w:pBdr>
          <w:top w:val="nil"/>
          <w:left w:val="nil"/>
          <w:bottom w:val="nil"/>
          <w:right w:val="nil"/>
          <w:between w:val="nil"/>
        </w:pBdr>
        <w:spacing w:after="0" w:line="240" w:lineRule="auto"/>
        <w:ind w:left="426" w:hanging="426"/>
        <w:rPr>
          <w:rFonts w:ascii="Cambria" w:eastAsia="Cambria" w:hAnsi="Cambria" w:cs="Cambria"/>
          <w:color w:val="000000"/>
          <w:sz w:val="24"/>
          <w:szCs w:val="24"/>
        </w:rPr>
      </w:pPr>
      <w:r>
        <w:rPr>
          <w:rFonts w:ascii="Cambria" w:eastAsia="Cambria" w:hAnsi="Cambria" w:cs="Cambria"/>
          <w:b/>
          <w:bCs/>
          <w:color w:val="000000"/>
          <w:sz w:val="24"/>
          <w:szCs w:val="24"/>
        </w:rPr>
        <w:t>Conclusion</w:t>
      </w:r>
    </w:p>
    <w:p w14:paraId="7E88EA91" w14:textId="09C1A28A" w:rsidR="0039525E" w:rsidRPr="00131FBD" w:rsidRDefault="002D60AC" w:rsidP="00131FBD">
      <w:pPr>
        <w:pStyle w:val="ListParagraph"/>
        <w:spacing w:after="0" w:line="240" w:lineRule="auto"/>
        <w:ind w:left="426" w:firstLine="567"/>
        <w:jc w:val="both"/>
        <w:rPr>
          <w:rFonts w:ascii="Cambria" w:hAnsi="Cambria"/>
          <w:color w:val="000000"/>
          <w:sz w:val="24"/>
          <w:szCs w:val="24"/>
        </w:rPr>
      </w:pPr>
      <w:r w:rsidRPr="002D60AC">
        <w:rPr>
          <w:rFonts w:ascii="Cambria" w:eastAsia="Times New Roman" w:hAnsi="Cambria" w:cstheme="majorBidi"/>
          <w:sz w:val="24"/>
          <w:szCs w:val="24"/>
        </w:rPr>
        <w:t xml:space="preserve">This study demonstrates that an e-learning-based platform such as </w:t>
      </w:r>
      <w:proofErr w:type="spellStart"/>
      <w:r w:rsidRPr="002D60AC">
        <w:rPr>
          <w:rFonts w:ascii="Cambria" w:eastAsia="Times New Roman" w:hAnsi="Cambria" w:cstheme="majorBidi"/>
          <w:sz w:val="24"/>
          <w:szCs w:val="24"/>
        </w:rPr>
        <w:t>Ruangguru</w:t>
      </w:r>
      <w:proofErr w:type="spellEnd"/>
      <w:r w:rsidRPr="002D60AC">
        <w:rPr>
          <w:rFonts w:ascii="Cambria" w:eastAsia="Times New Roman" w:hAnsi="Cambria" w:cstheme="majorBidi"/>
          <w:sz w:val="24"/>
          <w:szCs w:val="24"/>
        </w:rPr>
        <w:t xml:space="preserve"> has the potential to support the transformation of Islamic Religious Education (PAI) learning at the Madrasah </w:t>
      </w:r>
      <w:proofErr w:type="spellStart"/>
      <w:r w:rsidRPr="002D60AC">
        <w:rPr>
          <w:rFonts w:ascii="Cambria" w:eastAsia="Times New Roman" w:hAnsi="Cambria" w:cstheme="majorBidi"/>
          <w:sz w:val="24"/>
          <w:szCs w:val="24"/>
        </w:rPr>
        <w:t>Ibtidaiyah</w:t>
      </w:r>
      <w:proofErr w:type="spellEnd"/>
      <w:r w:rsidRPr="002D60AC">
        <w:rPr>
          <w:rFonts w:ascii="Cambria" w:eastAsia="Times New Roman" w:hAnsi="Cambria" w:cstheme="majorBidi"/>
          <w:sz w:val="24"/>
          <w:szCs w:val="24"/>
        </w:rPr>
        <w:t xml:space="preserve"> (MI) level through flexible, student-</w:t>
      </w:r>
      <w:proofErr w:type="spellStart"/>
      <w:r w:rsidRPr="002D60AC">
        <w:rPr>
          <w:rFonts w:ascii="Cambria" w:eastAsia="Times New Roman" w:hAnsi="Cambria" w:cstheme="majorBidi"/>
          <w:sz w:val="24"/>
          <w:szCs w:val="24"/>
        </w:rPr>
        <w:t>centered</w:t>
      </w:r>
      <w:proofErr w:type="spellEnd"/>
      <w:r w:rsidRPr="002D60AC">
        <w:rPr>
          <w:rFonts w:ascii="Cambria" w:eastAsia="Times New Roman" w:hAnsi="Cambria" w:cstheme="majorBidi"/>
          <w:sz w:val="24"/>
          <w:szCs w:val="24"/>
        </w:rPr>
        <w:t xml:space="preserve"> digital technology. The findings indicate that </w:t>
      </w:r>
      <w:proofErr w:type="spellStart"/>
      <w:r w:rsidRPr="002D60AC">
        <w:rPr>
          <w:rFonts w:ascii="Cambria" w:eastAsia="Times New Roman" w:hAnsi="Cambria" w:cstheme="majorBidi"/>
          <w:sz w:val="24"/>
          <w:szCs w:val="24"/>
        </w:rPr>
        <w:t>Ruangguru</w:t>
      </w:r>
      <w:proofErr w:type="spellEnd"/>
      <w:r w:rsidRPr="002D60AC">
        <w:rPr>
          <w:rFonts w:ascii="Cambria" w:eastAsia="Times New Roman" w:hAnsi="Cambria" w:cstheme="majorBidi"/>
          <w:sz w:val="24"/>
          <w:szCs w:val="24"/>
        </w:rPr>
        <w:t xml:space="preserve"> can expand students’ opportunities for independent learning, enhance digital literacy in religious education, support teachers in integrating digital resources as a complement to face-to-face instruction, and help parents monitor their children’s learning progress more actively. These findings also provide useful input for educational technology developers and policymakers in designing digital learning platforms that are more responsive to the needs of religious and character education in Indonesia. However, this study was limited to one madrasah, involved a small number of participants, focused on a single learning platform, and was conducted within a limited period, so the findings cannot be generalized broadly or used to assess long-term effects. Therefore, future research should involve larger samples from different regions and educational levels, compare </w:t>
      </w:r>
      <w:proofErr w:type="spellStart"/>
      <w:r w:rsidRPr="002D60AC">
        <w:rPr>
          <w:rFonts w:ascii="Cambria" w:eastAsia="Times New Roman" w:hAnsi="Cambria" w:cstheme="majorBidi"/>
          <w:sz w:val="24"/>
          <w:szCs w:val="24"/>
        </w:rPr>
        <w:t>Ruangguru</w:t>
      </w:r>
      <w:proofErr w:type="spellEnd"/>
      <w:r w:rsidRPr="002D60AC">
        <w:rPr>
          <w:rFonts w:ascii="Cambria" w:eastAsia="Times New Roman" w:hAnsi="Cambria" w:cstheme="majorBidi"/>
          <w:sz w:val="24"/>
          <w:szCs w:val="24"/>
        </w:rPr>
        <w:t xml:space="preserve"> with other e-learning platforms, and employ experimental or mixed-methods designs to examine the long-term effects of digital tutoring on learning outcomes, motivation, digital literacy, and students’ religious character development.</w:t>
      </w:r>
    </w:p>
    <w:p w14:paraId="6F45A541" w14:textId="77777777" w:rsidR="006060DD" w:rsidRDefault="006060DD" w:rsidP="00456504">
      <w:pPr>
        <w:tabs>
          <w:tab w:val="left" w:pos="1188"/>
        </w:tabs>
        <w:spacing w:after="0"/>
        <w:jc w:val="both"/>
        <w:rPr>
          <w:rFonts w:ascii="Cambria" w:eastAsia="Cambria" w:hAnsi="Cambria" w:cs="Cambria"/>
          <w:sz w:val="24"/>
          <w:szCs w:val="24"/>
        </w:rPr>
      </w:pPr>
    </w:p>
    <w:p w14:paraId="059387AA" w14:textId="77777777" w:rsidR="00131FBD" w:rsidRDefault="00131FBD">
      <w:pPr>
        <w:pBdr>
          <w:top w:val="nil"/>
          <w:left w:val="nil"/>
          <w:bottom w:val="nil"/>
          <w:right w:val="nil"/>
          <w:between w:val="nil"/>
        </w:pBdr>
        <w:spacing w:after="120" w:line="240" w:lineRule="auto"/>
        <w:ind w:left="720" w:hanging="720"/>
        <w:jc w:val="both"/>
        <w:rPr>
          <w:rFonts w:ascii="Cambria" w:eastAsia="Cambria" w:hAnsi="Cambria" w:cs="Cambria"/>
          <w:b/>
          <w:bCs/>
          <w:color w:val="000000"/>
          <w:sz w:val="24"/>
          <w:szCs w:val="24"/>
        </w:rPr>
      </w:pPr>
    </w:p>
    <w:p w14:paraId="21D23F1D" w14:textId="65804993" w:rsidR="0039525E" w:rsidRDefault="00320985">
      <w:pPr>
        <w:pBdr>
          <w:top w:val="nil"/>
          <w:left w:val="nil"/>
          <w:bottom w:val="nil"/>
          <w:right w:val="nil"/>
          <w:between w:val="nil"/>
        </w:pBdr>
        <w:spacing w:after="120" w:line="240" w:lineRule="auto"/>
        <w:ind w:left="720" w:hanging="720"/>
        <w:jc w:val="both"/>
        <w:rPr>
          <w:rFonts w:ascii="Cambria" w:eastAsia="Cambria" w:hAnsi="Cambria" w:cs="Cambria"/>
          <w:b/>
          <w:bCs/>
          <w:color w:val="000000"/>
          <w:sz w:val="24"/>
          <w:szCs w:val="24"/>
        </w:rPr>
      </w:pPr>
      <w:r>
        <w:rPr>
          <w:rFonts w:ascii="Cambria" w:eastAsia="Cambria" w:hAnsi="Cambria" w:cs="Cambria"/>
          <w:b/>
          <w:bCs/>
          <w:color w:val="000000"/>
          <w:sz w:val="24"/>
          <w:szCs w:val="24"/>
        </w:rPr>
        <w:t>References</w:t>
      </w:r>
    </w:p>
    <w:p w14:paraId="457084BB" w14:textId="483F636B" w:rsidR="00FA3D75" w:rsidRPr="00FA3D75" w:rsidRDefault="00916FF5" w:rsidP="00FA3D75">
      <w:pPr>
        <w:pStyle w:val="Bibliography"/>
        <w:spacing w:before="120" w:after="120" w:line="240" w:lineRule="auto"/>
        <w:jc w:val="both"/>
        <w:rPr>
          <w:rFonts w:ascii="Cambria" w:hAnsi="Cambria"/>
          <w:color w:val="000000" w:themeColor="text1"/>
          <w:sz w:val="24"/>
          <w:szCs w:val="24"/>
        </w:rPr>
      </w:pPr>
      <w:r w:rsidRPr="00FA3D75">
        <w:rPr>
          <w:rFonts w:ascii="Cambria" w:eastAsia="Cambria" w:hAnsi="Cambria" w:cs="Cambria"/>
          <w:color w:val="000000" w:themeColor="text1"/>
          <w:sz w:val="24"/>
          <w:szCs w:val="24"/>
        </w:rPr>
        <w:fldChar w:fldCharType="begin"/>
      </w:r>
      <w:r w:rsidR="00CC01A0" w:rsidRPr="00592DD5">
        <w:rPr>
          <w:rFonts w:ascii="Cambria" w:eastAsia="Cambria" w:hAnsi="Cambria" w:cs="Cambria"/>
          <w:color w:val="000000" w:themeColor="text1"/>
          <w:sz w:val="24"/>
          <w:szCs w:val="24"/>
        </w:rPr>
        <w:instrText xml:space="preserve"> ADDIN ZOTERO_BIBL {"uncited":[],"omitted":[],"custom":[]} CSL_BIBLIOGRAPHY </w:instrText>
      </w:r>
      <w:r w:rsidRPr="00FA3D75">
        <w:rPr>
          <w:rFonts w:ascii="Cambria" w:eastAsia="Cambria" w:hAnsi="Cambria" w:cs="Cambria"/>
          <w:color w:val="000000" w:themeColor="text1"/>
          <w:sz w:val="24"/>
          <w:szCs w:val="24"/>
        </w:rPr>
        <w:fldChar w:fldCharType="separate"/>
      </w:r>
      <w:r w:rsidR="00FA3D75" w:rsidRPr="00592DD5">
        <w:rPr>
          <w:rFonts w:ascii="Cambria" w:hAnsi="Cambria"/>
          <w:color w:val="000000" w:themeColor="text1"/>
          <w:sz w:val="24"/>
          <w:szCs w:val="24"/>
        </w:rPr>
        <w:t xml:space="preserve">Aeni, A. N., Abdullah, M., </w:t>
      </w:r>
      <w:proofErr w:type="spellStart"/>
      <w:r w:rsidR="00FA3D75" w:rsidRPr="00592DD5">
        <w:rPr>
          <w:rFonts w:ascii="Cambria" w:hAnsi="Cambria"/>
          <w:color w:val="000000" w:themeColor="text1"/>
          <w:sz w:val="24"/>
          <w:szCs w:val="24"/>
        </w:rPr>
        <w:t>Fitriyatunnisa</w:t>
      </w:r>
      <w:proofErr w:type="spellEnd"/>
      <w:r w:rsidR="00FA3D75" w:rsidRPr="00592DD5">
        <w:rPr>
          <w:rFonts w:ascii="Cambria" w:hAnsi="Cambria"/>
          <w:color w:val="000000" w:themeColor="text1"/>
          <w:sz w:val="24"/>
          <w:szCs w:val="24"/>
        </w:rPr>
        <w:t xml:space="preserve">, F., Wulan, N., &amp; Zahra, S. S. (2024). </w:t>
      </w:r>
      <w:r w:rsidR="00FA3D75" w:rsidRPr="00FA3D75">
        <w:rPr>
          <w:rFonts w:ascii="Cambria" w:hAnsi="Cambria"/>
          <w:color w:val="000000" w:themeColor="text1"/>
          <w:sz w:val="24"/>
          <w:szCs w:val="24"/>
        </w:rPr>
        <w:t>Development of Google Sites-Based Learning Media for Islamic Education Learning in Elementary Schools. </w:t>
      </w:r>
      <w:r w:rsidR="00FA3D75" w:rsidRPr="00FA3D75">
        <w:rPr>
          <w:rFonts w:ascii="Cambria" w:hAnsi="Cambria"/>
          <w:i/>
          <w:iCs/>
          <w:color w:val="000000" w:themeColor="text1"/>
          <w:sz w:val="24"/>
          <w:szCs w:val="24"/>
        </w:rPr>
        <w:t>AL-HAYAT Journal of Islamic Education</w:t>
      </w:r>
      <w:r w:rsidR="00FA3D75" w:rsidRPr="00FA3D75">
        <w:rPr>
          <w:rFonts w:ascii="Cambria" w:hAnsi="Cambria"/>
          <w:color w:val="000000" w:themeColor="text1"/>
          <w:sz w:val="24"/>
          <w:szCs w:val="24"/>
        </w:rPr>
        <w:t>, </w:t>
      </w:r>
      <w:r w:rsidR="00FA3D75" w:rsidRPr="00FA3D75">
        <w:rPr>
          <w:rFonts w:ascii="Cambria" w:hAnsi="Cambria"/>
          <w:i/>
          <w:iCs/>
          <w:color w:val="000000" w:themeColor="text1"/>
          <w:sz w:val="24"/>
          <w:szCs w:val="24"/>
        </w:rPr>
        <w:t>8</w:t>
      </w:r>
      <w:r w:rsidR="00FA3D75" w:rsidRPr="00FA3D75">
        <w:rPr>
          <w:rFonts w:ascii="Cambria" w:hAnsi="Cambria"/>
          <w:color w:val="000000" w:themeColor="text1"/>
          <w:sz w:val="24"/>
          <w:szCs w:val="24"/>
        </w:rPr>
        <w:t>(2), 742–742. </w:t>
      </w:r>
      <w:hyperlink r:id="rId21" w:tgtFrame="_blank" w:history="1">
        <w:r w:rsidR="00FA3D75" w:rsidRPr="00FA3D75">
          <w:rPr>
            <w:rStyle w:val="Hyperlink"/>
            <w:rFonts w:ascii="Cambria" w:hAnsi="Cambria"/>
            <w:color w:val="000000" w:themeColor="text1"/>
            <w:sz w:val="24"/>
            <w:szCs w:val="24"/>
            <w:u w:val="none"/>
          </w:rPr>
          <w:t>https://doi.org/10.35723/ajie.v8i2.594</w:t>
        </w:r>
      </w:hyperlink>
    </w:p>
    <w:p w14:paraId="3BD0516F" w14:textId="77777777" w:rsidR="00FA3D75" w:rsidRPr="00FA3D75" w:rsidRDefault="00FA3D75" w:rsidP="00FA3D75">
      <w:pPr>
        <w:pStyle w:val="Bibliography"/>
        <w:spacing w:before="120" w:after="120" w:line="240" w:lineRule="auto"/>
        <w:jc w:val="both"/>
        <w:rPr>
          <w:rFonts w:ascii="Cambria" w:hAnsi="Cambria" w:cs="Times New Roman"/>
          <w:noProof/>
          <w:color w:val="000000" w:themeColor="text1"/>
          <w:sz w:val="24"/>
          <w:szCs w:val="24"/>
        </w:rPr>
      </w:pPr>
      <w:r w:rsidRPr="00592DD5">
        <w:rPr>
          <w:rFonts w:ascii="Cambria" w:hAnsi="Cambria" w:cs="Times New Roman"/>
          <w:noProof/>
          <w:color w:val="000000" w:themeColor="text1"/>
          <w:sz w:val="24"/>
          <w:szCs w:val="24"/>
        </w:rPr>
        <w:t xml:space="preserve">Apriyanti, A., Hartini, H., &amp; Fadila, F. (2023). </w:t>
      </w:r>
      <w:r w:rsidRPr="00FA3D75">
        <w:rPr>
          <w:rFonts w:ascii="Cambria" w:hAnsi="Cambria" w:cs="Times New Roman"/>
          <w:noProof/>
          <w:color w:val="000000" w:themeColor="text1"/>
          <w:sz w:val="24"/>
          <w:szCs w:val="24"/>
          <w:lang w:val="sv-SE"/>
        </w:rPr>
        <w:t xml:space="preserve">Pengaruh Bimbingan dan Konseling Belajar terhadap Prestasi Belajar Matematika Siswa Sekolah Dasar. </w:t>
      </w:r>
      <w:r w:rsidRPr="00FA3D75">
        <w:rPr>
          <w:rFonts w:ascii="Cambria" w:hAnsi="Cambria" w:cs="Times New Roman"/>
          <w:i/>
          <w:iCs/>
          <w:noProof/>
          <w:color w:val="000000" w:themeColor="text1"/>
          <w:sz w:val="24"/>
          <w:szCs w:val="24"/>
        </w:rPr>
        <w:t>Jurnal Basicedu</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7</w:t>
      </w:r>
      <w:r w:rsidRPr="00FA3D75">
        <w:rPr>
          <w:rFonts w:ascii="Cambria" w:hAnsi="Cambria" w:cs="Times New Roman"/>
          <w:noProof/>
          <w:color w:val="000000" w:themeColor="text1"/>
          <w:sz w:val="24"/>
          <w:szCs w:val="24"/>
        </w:rPr>
        <w:t>(6), 3970–3979. https://doi.org/10.31004/BASICEDU.V7I6.6525</w:t>
      </w:r>
    </w:p>
    <w:p w14:paraId="297DC191" w14:textId="77777777" w:rsid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592DD5">
        <w:rPr>
          <w:rFonts w:ascii="Cambria" w:hAnsi="Cambria" w:cs="Times New Roman"/>
          <w:noProof/>
          <w:color w:val="000000" w:themeColor="text1"/>
          <w:sz w:val="24"/>
          <w:szCs w:val="24"/>
        </w:rPr>
        <w:t xml:space="preserve">Ariyani, D., &amp; Setiaji, H. A. (2024). </w:t>
      </w:r>
      <w:r w:rsidRPr="00FA3D75">
        <w:rPr>
          <w:rFonts w:ascii="Cambria" w:hAnsi="Cambria" w:cs="Times New Roman"/>
          <w:noProof/>
          <w:color w:val="000000" w:themeColor="text1"/>
          <w:sz w:val="24"/>
          <w:szCs w:val="24"/>
        </w:rPr>
        <w:t xml:space="preserve">Effectiveness of The Problem-based Learning Model Assisted with Ruangguru Application on Increasing Students’ Mathematical Problem Solving Ability. </w:t>
      </w:r>
      <w:r w:rsidRPr="00FA3D75">
        <w:rPr>
          <w:rFonts w:ascii="Cambria" w:hAnsi="Cambria" w:cs="Times New Roman"/>
          <w:i/>
          <w:iCs/>
          <w:noProof/>
          <w:color w:val="000000" w:themeColor="text1"/>
          <w:sz w:val="24"/>
          <w:szCs w:val="24"/>
        </w:rPr>
        <w:t>International Journal of Research in Mathematics Education</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2</w:t>
      </w:r>
      <w:r w:rsidRPr="00FA3D75">
        <w:rPr>
          <w:rFonts w:ascii="Cambria" w:hAnsi="Cambria" w:cs="Times New Roman"/>
          <w:noProof/>
          <w:color w:val="000000" w:themeColor="text1"/>
          <w:sz w:val="24"/>
          <w:szCs w:val="24"/>
        </w:rPr>
        <w:t>(1), 15–26. https://doi.org/10.24090/IJRME.V2I1.8948</w:t>
      </w:r>
    </w:p>
    <w:p w14:paraId="1FE406CB" w14:textId="5772110D" w:rsidR="00FA3D75" w:rsidRPr="00592DD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olor w:val="000000" w:themeColor="text1"/>
          <w:sz w:val="24"/>
          <w:szCs w:val="24"/>
          <w:lang w:val="sv-SE"/>
        </w:rPr>
        <w:t xml:space="preserve">Artati, A., Akmaluddin, A., &amp; Sari, S. M. (2023). </w:t>
      </w:r>
      <w:r w:rsidRPr="00FA3D75">
        <w:rPr>
          <w:rFonts w:ascii="Cambria" w:hAnsi="Cambria"/>
          <w:color w:val="000000" w:themeColor="text1"/>
          <w:sz w:val="24"/>
          <w:szCs w:val="24"/>
        </w:rPr>
        <w:t>Implementation of The Kauny Method Using The ADLX -Introflex Approach to Improve The Quality of Tahfidz Learning Based on Digitalization at SD-IT Hafizul Ilmi. </w:t>
      </w:r>
      <w:r w:rsidRPr="00FA3D75">
        <w:rPr>
          <w:rFonts w:ascii="Cambria" w:hAnsi="Cambria"/>
          <w:i/>
          <w:iCs/>
          <w:color w:val="000000" w:themeColor="text1"/>
          <w:sz w:val="24"/>
          <w:szCs w:val="24"/>
          <w:lang w:val="sv-SE"/>
        </w:rPr>
        <w:t xml:space="preserve">QALAMUNA Jurnal Pendidikan Sosial </w:t>
      </w:r>
      <w:r w:rsidR="00BD7A1D">
        <w:rPr>
          <w:rFonts w:ascii="Cambria" w:hAnsi="Cambria"/>
          <w:i/>
          <w:iCs/>
          <w:color w:val="000000" w:themeColor="text1"/>
          <w:sz w:val="24"/>
          <w:szCs w:val="24"/>
          <w:lang w:val="sv-SE"/>
        </w:rPr>
        <w:t>d</w:t>
      </w:r>
      <w:r w:rsidRPr="00FA3D75">
        <w:rPr>
          <w:rFonts w:ascii="Cambria" w:hAnsi="Cambria"/>
          <w:i/>
          <w:iCs/>
          <w:color w:val="000000" w:themeColor="text1"/>
          <w:sz w:val="24"/>
          <w:szCs w:val="24"/>
          <w:lang w:val="sv-SE"/>
        </w:rPr>
        <w:t>an Agama</w:t>
      </w:r>
      <w:r w:rsidRPr="00FA3D75">
        <w:rPr>
          <w:rFonts w:ascii="Cambria" w:hAnsi="Cambria"/>
          <w:color w:val="000000" w:themeColor="text1"/>
          <w:sz w:val="24"/>
          <w:szCs w:val="24"/>
          <w:lang w:val="sv-SE"/>
        </w:rPr>
        <w:t>, </w:t>
      </w:r>
      <w:r w:rsidRPr="00FA3D75">
        <w:rPr>
          <w:rFonts w:ascii="Cambria" w:hAnsi="Cambria"/>
          <w:i/>
          <w:iCs/>
          <w:color w:val="000000" w:themeColor="text1"/>
          <w:sz w:val="24"/>
          <w:szCs w:val="24"/>
          <w:lang w:val="sv-SE"/>
        </w:rPr>
        <w:t>15</w:t>
      </w:r>
      <w:r w:rsidRPr="00FA3D75">
        <w:rPr>
          <w:rFonts w:ascii="Cambria" w:hAnsi="Cambria"/>
          <w:color w:val="000000" w:themeColor="text1"/>
          <w:sz w:val="24"/>
          <w:szCs w:val="24"/>
          <w:lang w:val="sv-SE"/>
        </w:rPr>
        <w:t>(2), 1191–1202. </w:t>
      </w:r>
      <w:r w:rsidRPr="00FA3D75">
        <w:rPr>
          <w:rFonts w:ascii="Cambria" w:hAnsi="Cambria"/>
          <w:color w:val="000000" w:themeColor="text1"/>
          <w:sz w:val="24"/>
          <w:szCs w:val="24"/>
        </w:rPr>
        <w:fldChar w:fldCharType="begin"/>
      </w:r>
      <w:r w:rsidRPr="00FA3D75">
        <w:rPr>
          <w:rFonts w:ascii="Cambria" w:hAnsi="Cambria"/>
          <w:color w:val="000000" w:themeColor="text1"/>
          <w:sz w:val="24"/>
          <w:szCs w:val="24"/>
          <w:lang w:val="sv-SE"/>
        </w:rPr>
        <w:instrText>HYPERLINK "https://doi.org/10.37680/qalamuna.v15i2.3912" \t "_blank"</w:instrText>
      </w:r>
      <w:r w:rsidRPr="00FA3D75">
        <w:rPr>
          <w:rFonts w:ascii="Cambria" w:hAnsi="Cambria"/>
          <w:color w:val="000000" w:themeColor="text1"/>
          <w:sz w:val="24"/>
          <w:szCs w:val="24"/>
        </w:rPr>
      </w:r>
      <w:r w:rsidRPr="00FA3D75">
        <w:rPr>
          <w:rFonts w:ascii="Cambria" w:hAnsi="Cambria"/>
          <w:color w:val="000000" w:themeColor="text1"/>
          <w:sz w:val="24"/>
          <w:szCs w:val="24"/>
        </w:rPr>
        <w:fldChar w:fldCharType="separate"/>
      </w:r>
      <w:r w:rsidRPr="00FA3D75">
        <w:rPr>
          <w:rStyle w:val="Hyperlink"/>
          <w:rFonts w:ascii="Cambria" w:hAnsi="Cambria"/>
          <w:color w:val="000000" w:themeColor="text1"/>
          <w:sz w:val="24"/>
          <w:szCs w:val="24"/>
          <w:u w:val="none"/>
          <w:lang w:val="sv-SE"/>
        </w:rPr>
        <w:t>https://doi.org/10.37680/qalamuna.v15i2.3912</w:t>
      </w:r>
      <w:r w:rsidRPr="00FA3D75">
        <w:rPr>
          <w:rFonts w:ascii="Cambria" w:hAnsi="Cambria"/>
          <w:color w:val="000000" w:themeColor="text1"/>
          <w:sz w:val="24"/>
          <w:szCs w:val="24"/>
        </w:rPr>
        <w:fldChar w:fldCharType="end"/>
      </w:r>
    </w:p>
    <w:p w14:paraId="28DC2D24" w14:textId="3353938B" w:rsidR="00FA3D7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592DD5">
        <w:rPr>
          <w:rFonts w:ascii="Cambria" w:hAnsi="Cambria"/>
          <w:color w:val="000000" w:themeColor="text1"/>
          <w:sz w:val="24"/>
          <w:szCs w:val="24"/>
          <w:lang w:val="sv-SE"/>
        </w:rPr>
        <w:t xml:space="preserve">Bond, M., Khosravi, H., Laat, M. de, Bergdahl, N., Negrea, V., Oxley, E., Pham, P., Chong, S. W., &amp; Siemens, G. (2024). </w:t>
      </w:r>
      <w:r w:rsidRPr="00FA3D75">
        <w:rPr>
          <w:rFonts w:ascii="Cambria" w:hAnsi="Cambria"/>
          <w:color w:val="000000" w:themeColor="text1"/>
          <w:sz w:val="24"/>
          <w:szCs w:val="24"/>
        </w:rPr>
        <w:t xml:space="preserve">A </w:t>
      </w:r>
      <w:r w:rsidR="00BD7A1D">
        <w:rPr>
          <w:rFonts w:ascii="Cambria" w:hAnsi="Cambria"/>
          <w:color w:val="000000" w:themeColor="text1"/>
          <w:sz w:val="24"/>
          <w:szCs w:val="24"/>
        </w:rPr>
        <w:t>meta-systematic</w:t>
      </w:r>
      <w:r w:rsidRPr="00FA3D75">
        <w:rPr>
          <w:rFonts w:ascii="Cambria" w:hAnsi="Cambria"/>
          <w:color w:val="000000" w:themeColor="text1"/>
          <w:sz w:val="24"/>
          <w:szCs w:val="24"/>
        </w:rPr>
        <w:t xml:space="preserve"> review of artificial intelligence in higher education: a call for increased ethics, collaboration, and rigour. </w:t>
      </w:r>
      <w:r w:rsidRPr="00FA3D75">
        <w:rPr>
          <w:rFonts w:ascii="Cambria" w:hAnsi="Cambria"/>
          <w:i/>
          <w:iCs/>
          <w:color w:val="000000" w:themeColor="text1"/>
          <w:sz w:val="24"/>
          <w:szCs w:val="24"/>
        </w:rPr>
        <w:t>International Journal of Educational Technology in Higher Education</w:t>
      </w:r>
      <w:r w:rsidRPr="00FA3D75">
        <w:rPr>
          <w:rFonts w:ascii="Cambria" w:hAnsi="Cambria"/>
          <w:color w:val="000000" w:themeColor="text1"/>
          <w:sz w:val="24"/>
          <w:szCs w:val="24"/>
        </w:rPr>
        <w:t>, </w:t>
      </w:r>
      <w:r w:rsidRPr="00FA3D75">
        <w:rPr>
          <w:rFonts w:ascii="Cambria" w:hAnsi="Cambria"/>
          <w:i/>
          <w:iCs/>
          <w:color w:val="000000" w:themeColor="text1"/>
          <w:sz w:val="24"/>
          <w:szCs w:val="24"/>
        </w:rPr>
        <w:t>21</w:t>
      </w:r>
      <w:r w:rsidRPr="00FA3D75">
        <w:rPr>
          <w:rFonts w:ascii="Cambria" w:hAnsi="Cambria"/>
          <w:color w:val="000000" w:themeColor="text1"/>
          <w:sz w:val="24"/>
          <w:szCs w:val="24"/>
        </w:rPr>
        <w:t>(1). </w:t>
      </w:r>
      <w:hyperlink r:id="rId22" w:tgtFrame="_blank" w:history="1">
        <w:r w:rsidRPr="00FA3D75">
          <w:rPr>
            <w:rStyle w:val="Hyperlink"/>
            <w:rFonts w:ascii="Cambria" w:hAnsi="Cambria"/>
            <w:color w:val="000000" w:themeColor="text1"/>
            <w:sz w:val="24"/>
            <w:szCs w:val="24"/>
            <w:u w:val="none"/>
          </w:rPr>
          <w:t>https://doi.org/10.1186/s41239-023-00436-z</w:t>
        </w:r>
      </w:hyperlink>
    </w:p>
    <w:p w14:paraId="60A657EF" w14:textId="3DB376AA" w:rsidR="00FA3D75" w:rsidRPr="00FA3D7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olor w:val="000000" w:themeColor="text1"/>
          <w:sz w:val="24"/>
          <w:szCs w:val="24"/>
        </w:rPr>
        <w:t>Chiu, T. K. F., Xia, Q., Zhou, X., Chai, C. S., &amp; Cheng, M. (2022). Systematic literature review on opportunities, challenges, and future research recommendations of artificial intelligence in education. </w:t>
      </w:r>
      <w:r w:rsidRPr="00FA3D75">
        <w:rPr>
          <w:rFonts w:ascii="Cambria" w:hAnsi="Cambria"/>
          <w:i/>
          <w:iCs/>
          <w:color w:val="000000" w:themeColor="text1"/>
          <w:sz w:val="24"/>
          <w:szCs w:val="24"/>
        </w:rPr>
        <w:t>Computers and Education Artificial Intelligence</w:t>
      </w:r>
      <w:r w:rsidRPr="00FA3D75">
        <w:rPr>
          <w:rFonts w:ascii="Cambria" w:hAnsi="Cambria"/>
          <w:color w:val="000000" w:themeColor="text1"/>
          <w:sz w:val="24"/>
          <w:szCs w:val="24"/>
        </w:rPr>
        <w:t>, </w:t>
      </w:r>
      <w:r w:rsidRPr="00FA3D75">
        <w:rPr>
          <w:rFonts w:ascii="Cambria" w:hAnsi="Cambria"/>
          <w:i/>
          <w:iCs/>
          <w:color w:val="000000" w:themeColor="text1"/>
          <w:sz w:val="24"/>
          <w:szCs w:val="24"/>
        </w:rPr>
        <w:t>4</w:t>
      </w:r>
      <w:r w:rsidRPr="00FA3D75">
        <w:rPr>
          <w:rFonts w:ascii="Cambria" w:hAnsi="Cambria"/>
          <w:color w:val="000000" w:themeColor="text1"/>
          <w:sz w:val="24"/>
          <w:szCs w:val="24"/>
        </w:rPr>
        <w:t>, 100118–100118. </w:t>
      </w:r>
      <w:hyperlink r:id="rId23" w:tgtFrame="_blank" w:history="1">
        <w:r w:rsidRPr="00FA3D75">
          <w:rPr>
            <w:rStyle w:val="Hyperlink"/>
            <w:rFonts w:ascii="Cambria" w:hAnsi="Cambria"/>
            <w:color w:val="000000" w:themeColor="text1"/>
            <w:sz w:val="24"/>
            <w:szCs w:val="24"/>
            <w:u w:val="none"/>
          </w:rPr>
          <w:t>https://doi.org/10.1016/j.caeai.2022.100118</w:t>
        </w:r>
      </w:hyperlink>
    </w:p>
    <w:p w14:paraId="14844D69"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rPr>
        <w:t xml:space="preserve">Creswell, J. W., &amp; Poth, C. N. (2018). </w:t>
      </w:r>
      <w:r w:rsidRPr="00FA3D75">
        <w:rPr>
          <w:rFonts w:ascii="Cambria" w:hAnsi="Cambria" w:cs="Times New Roman"/>
          <w:i/>
          <w:iCs/>
          <w:noProof/>
          <w:color w:val="000000" w:themeColor="text1"/>
          <w:sz w:val="24"/>
          <w:szCs w:val="24"/>
        </w:rPr>
        <w:t>Qualitative inquiry and research design: Choosing among five approaches</w:t>
      </w:r>
      <w:r w:rsidRPr="00FA3D75">
        <w:rPr>
          <w:rFonts w:ascii="Cambria" w:hAnsi="Cambria" w:cs="Times New Roman"/>
          <w:noProof/>
          <w:color w:val="000000" w:themeColor="text1"/>
          <w:sz w:val="24"/>
          <w:szCs w:val="24"/>
        </w:rPr>
        <w:t xml:space="preserve"> ((4th ed.)). SAGE Publications.</w:t>
      </w:r>
    </w:p>
    <w:p w14:paraId="329A6F4A" w14:textId="601DDD15"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rPr>
        <w:t xml:space="preserve">Faizah, L. I., Ma’ruf, A., &amp; Rosyidah, E. F. (2023). Media Pembelajaran Infografis dalam Membentuk Minat Belajar Siswa </w:t>
      </w:r>
      <w:r w:rsidR="00BD7A1D">
        <w:rPr>
          <w:rFonts w:ascii="Cambria" w:hAnsi="Cambria" w:cs="Times New Roman"/>
          <w:noProof/>
          <w:color w:val="000000" w:themeColor="text1"/>
          <w:sz w:val="24"/>
          <w:szCs w:val="24"/>
        </w:rPr>
        <w:t>pada</w:t>
      </w:r>
      <w:r w:rsidRPr="00FA3D75">
        <w:rPr>
          <w:rFonts w:ascii="Cambria" w:hAnsi="Cambria" w:cs="Times New Roman"/>
          <w:noProof/>
          <w:color w:val="000000" w:themeColor="text1"/>
          <w:sz w:val="24"/>
          <w:szCs w:val="24"/>
        </w:rPr>
        <w:t xml:space="preserve"> Mata Pelajaran Aqidah Akhlak di Madrasah Aliyah Raudhatul Banath Sidoarjo. </w:t>
      </w:r>
      <w:r w:rsidRPr="00FA3D75">
        <w:rPr>
          <w:rFonts w:ascii="Cambria" w:hAnsi="Cambria" w:cs="Times New Roman"/>
          <w:i/>
          <w:iCs/>
          <w:noProof/>
          <w:color w:val="000000" w:themeColor="text1"/>
          <w:sz w:val="24"/>
          <w:szCs w:val="24"/>
        </w:rPr>
        <w:t>Al-Ulum</w:t>
      </w:r>
      <w:r w:rsidR="00BD7A1D">
        <w:rPr>
          <w:rFonts w:ascii="Cambria" w:hAnsi="Cambria" w:cs="Times New Roman"/>
          <w:i/>
          <w:iCs/>
          <w:noProof/>
          <w:color w:val="000000" w:themeColor="text1"/>
          <w:sz w:val="24"/>
          <w:szCs w:val="24"/>
        </w:rPr>
        <w:t>: Jurnal Pemikiran Dan Penelitian Keislaman</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10</w:t>
      </w:r>
      <w:r w:rsidRPr="00FA3D75">
        <w:rPr>
          <w:rFonts w:ascii="Cambria" w:hAnsi="Cambria" w:cs="Times New Roman"/>
          <w:noProof/>
          <w:color w:val="000000" w:themeColor="text1"/>
          <w:sz w:val="24"/>
          <w:szCs w:val="24"/>
        </w:rPr>
        <w:t>(1), Purwanza, Sena Wahyu, Aditya Wardhana, Ainul Mufid. https://journal.uim.ac.id/index.php/alulum/article/view/1644</w:t>
      </w:r>
    </w:p>
    <w:p w14:paraId="69AC41EC" w14:textId="6EA5AB1B"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 xml:space="preserve">Febriani, D. R., Indriyani, I., Shafa Fauziyah, A., Salsabila Divania, A., &amp; Maulidah, N. (2025). Peran Literasi Digital dalam Pembentukan Etika Sosial di Dunia Maya </w:t>
      </w:r>
      <w:r w:rsidR="00BD7A1D">
        <w:rPr>
          <w:rFonts w:ascii="Cambria" w:hAnsi="Cambria" w:cs="Times New Roman"/>
          <w:noProof/>
          <w:color w:val="000000" w:themeColor="text1"/>
          <w:sz w:val="24"/>
          <w:szCs w:val="24"/>
          <w:lang w:val="sv-SE"/>
        </w:rPr>
        <w:t>pada</w:t>
      </w:r>
      <w:r w:rsidRPr="00FA3D75">
        <w:rPr>
          <w:rFonts w:ascii="Cambria" w:hAnsi="Cambria" w:cs="Times New Roman"/>
          <w:noProof/>
          <w:color w:val="000000" w:themeColor="text1"/>
          <w:sz w:val="24"/>
          <w:szCs w:val="24"/>
          <w:lang w:val="sv-SE"/>
        </w:rPr>
        <w:t xml:space="preserve"> Siswa SD. </w:t>
      </w:r>
      <w:r w:rsidRPr="00FA3D75">
        <w:rPr>
          <w:rFonts w:ascii="Cambria" w:hAnsi="Cambria" w:cs="Times New Roman"/>
          <w:i/>
          <w:iCs/>
          <w:noProof/>
          <w:color w:val="000000" w:themeColor="text1"/>
          <w:sz w:val="24"/>
          <w:szCs w:val="24"/>
          <w:lang w:val="sv-SE"/>
        </w:rPr>
        <w:t>Jurnal Ilmiah Profesi Pendidikan</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10</w:t>
      </w:r>
      <w:r w:rsidRPr="00FA3D75">
        <w:rPr>
          <w:rFonts w:ascii="Cambria" w:hAnsi="Cambria" w:cs="Times New Roman"/>
          <w:noProof/>
          <w:color w:val="000000" w:themeColor="text1"/>
          <w:sz w:val="24"/>
          <w:szCs w:val="24"/>
          <w:lang w:val="sv-SE"/>
        </w:rPr>
        <w:t>(1), 858–865. https://doi.org/10.29303/JIPP.V10I1.2962</w:t>
      </w:r>
    </w:p>
    <w:p w14:paraId="1069E4FC"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Firdaus, A. A., Tabroni, I., &amp; Megawati, I. (2022). </w:t>
      </w:r>
      <w:r w:rsidRPr="00FA3D75">
        <w:rPr>
          <w:rFonts w:ascii="Cambria" w:hAnsi="Cambria" w:cs="Times New Roman"/>
          <w:noProof/>
          <w:color w:val="000000" w:themeColor="text1"/>
          <w:sz w:val="24"/>
          <w:szCs w:val="24"/>
        </w:rPr>
        <w:t xml:space="preserve">Implementation of Quizizz Educational Game Media in Increasing Students’ Learning Motivation During the Covid-19 Pandemic in Islamic Religious Education Learning. </w:t>
      </w:r>
      <w:r w:rsidRPr="00FA3D75">
        <w:rPr>
          <w:rFonts w:ascii="Cambria" w:hAnsi="Cambria" w:cs="Times New Roman"/>
          <w:i/>
          <w:iCs/>
          <w:noProof/>
          <w:color w:val="000000" w:themeColor="text1"/>
          <w:sz w:val="24"/>
          <w:szCs w:val="24"/>
        </w:rPr>
        <w:t>Journal of Social Transformation and Regional Development</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4</w:t>
      </w:r>
      <w:r w:rsidRPr="00FA3D75">
        <w:rPr>
          <w:rFonts w:ascii="Cambria" w:hAnsi="Cambria" w:cs="Times New Roman"/>
          <w:noProof/>
          <w:color w:val="000000" w:themeColor="text1"/>
          <w:sz w:val="24"/>
          <w:szCs w:val="24"/>
        </w:rPr>
        <w:t>(2). https://doi.org/10.30880/JSTARD.2022.04.02.007</w:t>
      </w:r>
    </w:p>
    <w:p w14:paraId="7AF4E293" w14:textId="77777777" w:rsidR="00FA3D75" w:rsidRPr="00592DD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rPr>
        <w:t xml:space="preserve">Firdaus, A., Amrullah, A., Robiatul Adawiyah, L., Yuliati Zakiah, Q., Al-Masthuriyah Sukabumi, S., &amp; Gunung, S. (2023). Enhancing Learning Quality and Student Engagement: Utilizing Digital Technology in Islamic Education. </w:t>
      </w:r>
      <w:r w:rsidRPr="00592DD5">
        <w:rPr>
          <w:rFonts w:ascii="Cambria" w:hAnsi="Cambria" w:cs="Times New Roman"/>
          <w:i/>
          <w:iCs/>
          <w:noProof/>
          <w:color w:val="000000" w:themeColor="text1"/>
          <w:sz w:val="24"/>
          <w:szCs w:val="24"/>
        </w:rPr>
        <w:t>International Journal of Nusantara Islam</w:t>
      </w:r>
      <w:r w:rsidRPr="00592DD5">
        <w:rPr>
          <w:rFonts w:ascii="Cambria" w:hAnsi="Cambria" w:cs="Times New Roman"/>
          <w:noProof/>
          <w:color w:val="000000" w:themeColor="text1"/>
          <w:sz w:val="24"/>
          <w:szCs w:val="24"/>
        </w:rPr>
        <w:t xml:space="preserve">, </w:t>
      </w:r>
      <w:r w:rsidRPr="00592DD5">
        <w:rPr>
          <w:rFonts w:ascii="Cambria" w:hAnsi="Cambria" w:cs="Times New Roman"/>
          <w:i/>
          <w:iCs/>
          <w:noProof/>
          <w:color w:val="000000" w:themeColor="text1"/>
          <w:sz w:val="24"/>
          <w:szCs w:val="24"/>
        </w:rPr>
        <w:t>11</w:t>
      </w:r>
      <w:r w:rsidRPr="00592DD5">
        <w:rPr>
          <w:rFonts w:ascii="Cambria" w:hAnsi="Cambria" w:cs="Times New Roman"/>
          <w:noProof/>
          <w:color w:val="000000" w:themeColor="text1"/>
          <w:sz w:val="24"/>
          <w:szCs w:val="24"/>
        </w:rPr>
        <w:t>(2), 206–2018. https://doi.org/10.15575/IJNI.V11I2.29960</w:t>
      </w:r>
    </w:p>
    <w:p w14:paraId="0BAC5697" w14:textId="581D6692" w:rsidR="00FA3D75" w:rsidRPr="00FA3D7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proofErr w:type="spellStart"/>
      <w:r w:rsidRPr="00592DD5">
        <w:rPr>
          <w:rFonts w:ascii="Cambria" w:hAnsi="Cambria"/>
          <w:color w:val="000000" w:themeColor="text1"/>
          <w:sz w:val="24"/>
          <w:szCs w:val="24"/>
        </w:rPr>
        <w:t>Grájeda</w:t>
      </w:r>
      <w:proofErr w:type="spellEnd"/>
      <w:r w:rsidRPr="00592DD5">
        <w:rPr>
          <w:rFonts w:ascii="Cambria" w:hAnsi="Cambria"/>
          <w:color w:val="000000" w:themeColor="text1"/>
          <w:sz w:val="24"/>
          <w:szCs w:val="24"/>
        </w:rPr>
        <w:t xml:space="preserve">, A., Burgos, J., Olivera, P. C., &amp; </w:t>
      </w:r>
      <w:proofErr w:type="spellStart"/>
      <w:r w:rsidRPr="00592DD5">
        <w:rPr>
          <w:rFonts w:ascii="Cambria" w:hAnsi="Cambria"/>
          <w:color w:val="000000" w:themeColor="text1"/>
          <w:sz w:val="24"/>
          <w:szCs w:val="24"/>
        </w:rPr>
        <w:t>Sanjinés</w:t>
      </w:r>
      <w:proofErr w:type="spellEnd"/>
      <w:r w:rsidRPr="00592DD5">
        <w:rPr>
          <w:rFonts w:ascii="Cambria" w:hAnsi="Cambria"/>
          <w:color w:val="000000" w:themeColor="text1"/>
          <w:sz w:val="24"/>
          <w:szCs w:val="24"/>
        </w:rPr>
        <w:t xml:space="preserve">, A. (2023). </w:t>
      </w:r>
      <w:r w:rsidRPr="00FA3D75">
        <w:rPr>
          <w:rFonts w:ascii="Cambria" w:hAnsi="Cambria"/>
          <w:color w:val="000000" w:themeColor="text1"/>
          <w:sz w:val="24"/>
          <w:szCs w:val="24"/>
        </w:rPr>
        <w:t>Assessing student-perceived impact of using artificial intelligence tools: Construction of a synthetic index of application in higher education. </w:t>
      </w:r>
      <w:r w:rsidRPr="00FA3D75">
        <w:rPr>
          <w:rFonts w:ascii="Cambria" w:hAnsi="Cambria"/>
          <w:i/>
          <w:iCs/>
          <w:color w:val="000000" w:themeColor="text1"/>
          <w:sz w:val="24"/>
          <w:szCs w:val="24"/>
          <w:lang w:val="sv-SE"/>
        </w:rPr>
        <w:t>Cogent Education</w:t>
      </w:r>
      <w:r w:rsidRPr="00FA3D75">
        <w:rPr>
          <w:rFonts w:ascii="Cambria" w:hAnsi="Cambria"/>
          <w:color w:val="000000" w:themeColor="text1"/>
          <w:sz w:val="24"/>
          <w:szCs w:val="24"/>
          <w:lang w:val="sv-SE"/>
        </w:rPr>
        <w:t>, </w:t>
      </w:r>
      <w:r w:rsidRPr="00FA3D75">
        <w:rPr>
          <w:rFonts w:ascii="Cambria" w:hAnsi="Cambria"/>
          <w:i/>
          <w:iCs/>
          <w:color w:val="000000" w:themeColor="text1"/>
          <w:sz w:val="24"/>
          <w:szCs w:val="24"/>
          <w:lang w:val="sv-SE"/>
        </w:rPr>
        <w:t>11</w:t>
      </w:r>
      <w:r w:rsidRPr="00FA3D75">
        <w:rPr>
          <w:rFonts w:ascii="Cambria" w:hAnsi="Cambria"/>
          <w:color w:val="000000" w:themeColor="text1"/>
          <w:sz w:val="24"/>
          <w:szCs w:val="24"/>
          <w:lang w:val="sv-SE"/>
        </w:rPr>
        <w:t>(1). </w:t>
      </w:r>
      <w:hyperlink r:id="rId24" w:tgtFrame="_blank" w:history="1">
        <w:r w:rsidRPr="00FA3D75">
          <w:rPr>
            <w:rStyle w:val="Hyperlink"/>
            <w:rFonts w:ascii="Cambria" w:hAnsi="Cambria"/>
            <w:color w:val="000000" w:themeColor="text1"/>
            <w:sz w:val="24"/>
            <w:szCs w:val="24"/>
            <w:u w:val="none"/>
            <w:lang w:val="sv-SE"/>
          </w:rPr>
          <w:t>https://doi.org/10.1080/2331186x.2023.2287917</w:t>
        </w:r>
      </w:hyperlink>
    </w:p>
    <w:p w14:paraId="29C69159" w14:textId="68749B4D"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Gulo, D. D. S., Laoli, B., Laoli, E. S., Lase, A., &amp; Siswa</w:t>
      </w:r>
      <w:r w:rsidR="00BD7A1D">
        <w:rPr>
          <w:rFonts w:ascii="Cambria" w:hAnsi="Cambria" w:cs="Times New Roman"/>
          <w:noProof/>
          <w:color w:val="000000" w:themeColor="text1"/>
          <w:sz w:val="24"/>
          <w:szCs w:val="24"/>
          <w:lang w:val="sv-SE"/>
        </w:rPr>
        <w:t>.</w:t>
      </w:r>
      <w:r w:rsidRPr="00FA3D75">
        <w:rPr>
          <w:rFonts w:ascii="Cambria" w:hAnsi="Cambria" w:cs="Times New Roman"/>
          <w:noProof/>
          <w:color w:val="000000" w:themeColor="text1"/>
          <w:sz w:val="24"/>
          <w:szCs w:val="24"/>
          <w:lang w:val="sv-SE"/>
        </w:rPr>
        <w:t xml:space="preserve"> Pengembangan Media Pembelajaran Video Interaktif Untuk Meningkatkan Hasil Belajar. (2024). Pengembangan Media Pembelajaran Video Interaktif Untuk Meningkatkan Hasil Belajar Siswa. </w:t>
      </w:r>
      <w:r w:rsidRPr="00FA3D75">
        <w:rPr>
          <w:rFonts w:ascii="Cambria" w:hAnsi="Cambria" w:cs="Times New Roman"/>
          <w:i/>
          <w:iCs/>
          <w:noProof/>
          <w:color w:val="000000" w:themeColor="text1"/>
          <w:sz w:val="24"/>
          <w:szCs w:val="24"/>
          <w:lang w:val="sv-SE"/>
        </w:rPr>
        <w:t xml:space="preserve">Jurnal Inovasi Pendidikan </w:t>
      </w:r>
      <w:r w:rsidR="00BD7A1D">
        <w:rPr>
          <w:rFonts w:ascii="Cambria" w:hAnsi="Cambria" w:cs="Times New Roman"/>
          <w:i/>
          <w:iCs/>
          <w:noProof/>
          <w:color w:val="000000" w:themeColor="text1"/>
          <w:sz w:val="24"/>
          <w:szCs w:val="24"/>
          <w:lang w:val="sv-SE"/>
        </w:rPr>
        <w:t>dan</w:t>
      </w:r>
      <w:r w:rsidRPr="00FA3D75">
        <w:rPr>
          <w:rFonts w:ascii="Cambria" w:hAnsi="Cambria" w:cs="Times New Roman"/>
          <w:i/>
          <w:iCs/>
          <w:noProof/>
          <w:color w:val="000000" w:themeColor="text1"/>
          <w:sz w:val="24"/>
          <w:szCs w:val="24"/>
          <w:lang w:val="sv-SE"/>
        </w:rPr>
        <w:t xml:space="preserve"> Teknologi Informasi (JIPTI)</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5</w:t>
      </w:r>
      <w:r w:rsidRPr="00FA3D75">
        <w:rPr>
          <w:rFonts w:ascii="Cambria" w:hAnsi="Cambria" w:cs="Times New Roman"/>
          <w:noProof/>
          <w:color w:val="000000" w:themeColor="text1"/>
          <w:sz w:val="24"/>
          <w:szCs w:val="24"/>
          <w:lang w:val="sv-SE"/>
        </w:rPr>
        <w:t>(2), 314–327. https://doi.org/10.52060/JIPTI.V5I2.2375</w:t>
      </w:r>
    </w:p>
    <w:p w14:paraId="41C2D6E1" w14:textId="2B6757B8"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rPr>
        <w:t xml:space="preserve">Habsia, A., Ertanti, D. W., &amp; Zakaria, Z. (2025). </w:t>
      </w:r>
      <w:r w:rsidRPr="00FA3D75">
        <w:rPr>
          <w:rFonts w:ascii="Cambria" w:hAnsi="Cambria" w:cs="Times New Roman"/>
          <w:noProof/>
          <w:color w:val="000000" w:themeColor="text1"/>
          <w:sz w:val="24"/>
          <w:szCs w:val="24"/>
          <w:lang w:val="sv-SE"/>
        </w:rPr>
        <w:t xml:space="preserve">Implementasi Pembelajaran Berbasis E-learning Madrasah dalam Membentuk Kemandirian Belajar Siswa Jenjang Kelas </w:t>
      </w:r>
      <w:r w:rsidR="00BD7A1D">
        <w:rPr>
          <w:rFonts w:ascii="Cambria" w:hAnsi="Cambria" w:cs="Times New Roman"/>
          <w:noProof/>
          <w:color w:val="000000" w:themeColor="text1"/>
          <w:sz w:val="24"/>
          <w:szCs w:val="24"/>
          <w:lang w:val="sv-SE"/>
        </w:rPr>
        <w:t>Atas</w:t>
      </w:r>
      <w:r w:rsidRPr="00FA3D75">
        <w:rPr>
          <w:rFonts w:ascii="Cambria" w:hAnsi="Cambria" w:cs="Times New Roman"/>
          <w:noProof/>
          <w:color w:val="000000" w:themeColor="text1"/>
          <w:sz w:val="24"/>
          <w:szCs w:val="24"/>
          <w:lang w:val="sv-SE"/>
        </w:rPr>
        <w:t xml:space="preserve"> di MIN 1 Kota Malang. </w:t>
      </w:r>
      <w:r w:rsidRPr="00FA3D75">
        <w:rPr>
          <w:rFonts w:ascii="Cambria" w:hAnsi="Cambria" w:cs="Times New Roman"/>
          <w:i/>
          <w:iCs/>
          <w:noProof/>
          <w:color w:val="000000" w:themeColor="text1"/>
          <w:sz w:val="24"/>
          <w:szCs w:val="24"/>
          <w:lang w:val="sv-SE"/>
        </w:rPr>
        <w:t>JPMI: Jurnal Pendidikan Madrasah Ibtidaiyah</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7</w:t>
      </w:r>
      <w:r w:rsidRPr="00FA3D75">
        <w:rPr>
          <w:rFonts w:ascii="Cambria" w:hAnsi="Cambria" w:cs="Times New Roman"/>
          <w:noProof/>
          <w:color w:val="000000" w:themeColor="text1"/>
          <w:sz w:val="24"/>
          <w:szCs w:val="24"/>
          <w:lang w:val="sv-SE"/>
        </w:rPr>
        <w:t>(2), 1–14. https://doi.org/https://doi.org/10.33474/jpmi.v7i2.28969</w:t>
      </w:r>
    </w:p>
    <w:p w14:paraId="6ABA3D84" w14:textId="3C37E471"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rPr>
        <w:t xml:space="preserve">Hasibuan, N. L., Nurdiana, &amp; Kartini, A. (2024). Improving Student Learning Outcomes through </w:t>
      </w:r>
      <w:r w:rsidR="00BD7A1D">
        <w:rPr>
          <w:rFonts w:ascii="Cambria" w:hAnsi="Cambria" w:cs="Times New Roman"/>
          <w:noProof/>
          <w:color w:val="000000" w:themeColor="text1"/>
          <w:sz w:val="24"/>
          <w:szCs w:val="24"/>
        </w:rPr>
        <w:t>Audio-Visual</w:t>
      </w:r>
      <w:r w:rsidRPr="00FA3D75">
        <w:rPr>
          <w:rFonts w:ascii="Cambria" w:hAnsi="Cambria" w:cs="Times New Roman"/>
          <w:noProof/>
          <w:color w:val="000000" w:themeColor="text1"/>
          <w:sz w:val="24"/>
          <w:szCs w:val="24"/>
        </w:rPr>
        <w:t xml:space="preserve"> Media in Islamic Education Learning at SD Negeri 26 Sampean. </w:t>
      </w:r>
      <w:r w:rsidRPr="00FA3D75">
        <w:rPr>
          <w:rFonts w:ascii="Cambria" w:hAnsi="Cambria" w:cs="Times New Roman"/>
          <w:i/>
          <w:iCs/>
          <w:noProof/>
          <w:color w:val="000000" w:themeColor="text1"/>
          <w:sz w:val="24"/>
          <w:szCs w:val="24"/>
          <w:lang w:val="sv-SE"/>
        </w:rPr>
        <w:t>Jurnal Pendidikan Profesi Guru</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2</w:t>
      </w:r>
      <w:r w:rsidRPr="00FA3D75">
        <w:rPr>
          <w:rFonts w:ascii="Cambria" w:hAnsi="Cambria" w:cs="Times New Roman"/>
          <w:noProof/>
          <w:color w:val="000000" w:themeColor="text1"/>
          <w:sz w:val="24"/>
          <w:szCs w:val="24"/>
          <w:lang w:val="sv-SE"/>
        </w:rPr>
        <w:t>(1), 93–99. https://doi.org/10.22373/JPPG.V2I1.6748</w:t>
      </w:r>
    </w:p>
    <w:p w14:paraId="029A456B" w14:textId="77777777" w:rsid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Kharismatunisa, I. (2023). </w:t>
      </w:r>
      <w:r w:rsidRPr="00FA3D75">
        <w:rPr>
          <w:rFonts w:ascii="Cambria" w:hAnsi="Cambria" w:cs="Times New Roman"/>
          <w:noProof/>
          <w:color w:val="000000" w:themeColor="text1"/>
          <w:sz w:val="24"/>
          <w:szCs w:val="24"/>
        </w:rPr>
        <w:t xml:space="preserve">Innovation and Creativity of Islamic Religious Education Teachers in Utilizing Digital-Based Learning Media. </w:t>
      </w:r>
      <w:r w:rsidRPr="00FA3D75">
        <w:rPr>
          <w:rFonts w:ascii="Cambria" w:hAnsi="Cambria" w:cs="Times New Roman"/>
          <w:i/>
          <w:iCs/>
          <w:noProof/>
          <w:color w:val="000000" w:themeColor="text1"/>
          <w:sz w:val="24"/>
          <w:szCs w:val="24"/>
        </w:rPr>
        <w:t>Scaffolding: Jurnal Pendidikan Islam Dan Multikulturalisme</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5</w:t>
      </w:r>
      <w:r w:rsidRPr="00FA3D75">
        <w:rPr>
          <w:rFonts w:ascii="Cambria" w:hAnsi="Cambria" w:cs="Times New Roman"/>
          <w:noProof/>
          <w:color w:val="000000" w:themeColor="text1"/>
          <w:sz w:val="24"/>
          <w:szCs w:val="24"/>
        </w:rPr>
        <w:t>(3), 519–538. https://doi.org/10.37680/SCAFFOLDING.V5I3.3700</w:t>
      </w:r>
    </w:p>
    <w:p w14:paraId="2944D9A5" w14:textId="77777777" w:rsidR="00FA3D7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592DD5">
        <w:rPr>
          <w:rFonts w:ascii="Cambria" w:hAnsi="Cambria"/>
          <w:color w:val="000000" w:themeColor="text1"/>
          <w:sz w:val="24"/>
          <w:szCs w:val="24"/>
        </w:rPr>
        <w:t xml:space="preserve">Kong, S. C., Yang, Y., &amp; Hou, C. (2024). </w:t>
      </w:r>
      <w:r w:rsidRPr="00FA3D75">
        <w:rPr>
          <w:rFonts w:ascii="Cambria" w:hAnsi="Cambria"/>
          <w:color w:val="000000" w:themeColor="text1"/>
          <w:sz w:val="24"/>
          <w:szCs w:val="24"/>
        </w:rPr>
        <w:t>Examining teachers’ behavioural intention of using generative artificial intelligence tools for teaching and learning based on the extended technology acceptance model. </w:t>
      </w:r>
      <w:r w:rsidRPr="00FA3D75">
        <w:rPr>
          <w:rFonts w:ascii="Cambria" w:hAnsi="Cambria"/>
          <w:i/>
          <w:iCs/>
          <w:color w:val="000000" w:themeColor="text1"/>
          <w:sz w:val="24"/>
          <w:szCs w:val="24"/>
        </w:rPr>
        <w:t>Computers and Education Artificial Intelligence</w:t>
      </w:r>
      <w:r w:rsidRPr="00FA3D75">
        <w:rPr>
          <w:rFonts w:ascii="Cambria" w:hAnsi="Cambria"/>
          <w:color w:val="000000" w:themeColor="text1"/>
          <w:sz w:val="24"/>
          <w:szCs w:val="24"/>
        </w:rPr>
        <w:t>, </w:t>
      </w:r>
      <w:r w:rsidRPr="00FA3D75">
        <w:rPr>
          <w:rFonts w:ascii="Cambria" w:hAnsi="Cambria"/>
          <w:i/>
          <w:iCs/>
          <w:color w:val="000000" w:themeColor="text1"/>
          <w:sz w:val="24"/>
          <w:szCs w:val="24"/>
        </w:rPr>
        <w:t>7</w:t>
      </w:r>
      <w:r w:rsidRPr="00FA3D75">
        <w:rPr>
          <w:rFonts w:ascii="Cambria" w:hAnsi="Cambria"/>
          <w:color w:val="000000" w:themeColor="text1"/>
          <w:sz w:val="24"/>
          <w:szCs w:val="24"/>
        </w:rPr>
        <w:t>, 100328–100328. </w:t>
      </w:r>
      <w:hyperlink r:id="rId25" w:tgtFrame="_blank" w:history="1">
        <w:r w:rsidRPr="00FA3D75">
          <w:rPr>
            <w:rStyle w:val="Hyperlink"/>
            <w:rFonts w:ascii="Cambria" w:hAnsi="Cambria"/>
            <w:color w:val="000000" w:themeColor="text1"/>
            <w:sz w:val="24"/>
            <w:szCs w:val="24"/>
            <w:u w:val="none"/>
          </w:rPr>
          <w:t>https://doi.org/10.1016/j.caeai.2024.100328</w:t>
        </w:r>
      </w:hyperlink>
    </w:p>
    <w:p w14:paraId="216A7E5B" w14:textId="77777777" w:rsidR="00FA3D75" w:rsidRPr="00592DD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592DD5">
        <w:rPr>
          <w:rFonts w:ascii="Cambria" w:hAnsi="Cambria"/>
          <w:color w:val="000000" w:themeColor="text1"/>
          <w:sz w:val="24"/>
          <w:szCs w:val="24"/>
        </w:rPr>
        <w:t xml:space="preserve">Lin, C.-C., Huang, A. Y. Q., &amp; Lu, O. H. T. (2023). </w:t>
      </w:r>
      <w:r w:rsidRPr="00FA3D75">
        <w:rPr>
          <w:rFonts w:ascii="Cambria" w:hAnsi="Cambria"/>
          <w:color w:val="000000" w:themeColor="text1"/>
          <w:sz w:val="24"/>
          <w:szCs w:val="24"/>
        </w:rPr>
        <w:t>Artificial intelligence in intelligent tutoring systems toward sustainable education: a systematic review [Review of </w:t>
      </w:r>
      <w:r w:rsidRPr="00FA3D75">
        <w:rPr>
          <w:rFonts w:ascii="Cambria" w:hAnsi="Cambria"/>
          <w:i/>
          <w:iCs/>
          <w:color w:val="000000" w:themeColor="text1"/>
          <w:sz w:val="24"/>
          <w:szCs w:val="24"/>
        </w:rPr>
        <w:t>Artificial intelligence in intelligent tutoring systems toward sustainable education: a systematic review</w:t>
      </w:r>
      <w:r w:rsidRPr="00FA3D75">
        <w:rPr>
          <w:rFonts w:ascii="Cambria" w:hAnsi="Cambria"/>
          <w:color w:val="000000" w:themeColor="text1"/>
          <w:sz w:val="24"/>
          <w:szCs w:val="24"/>
        </w:rPr>
        <w:t>]. </w:t>
      </w:r>
      <w:r w:rsidRPr="00592DD5">
        <w:rPr>
          <w:rFonts w:ascii="Cambria" w:hAnsi="Cambria"/>
          <w:i/>
          <w:iCs/>
          <w:color w:val="000000" w:themeColor="text1"/>
          <w:sz w:val="24"/>
          <w:szCs w:val="24"/>
          <w:lang w:val="sv-SE"/>
        </w:rPr>
        <w:t>Smart Learning Environments</w:t>
      </w:r>
      <w:r w:rsidRPr="00592DD5">
        <w:rPr>
          <w:rFonts w:ascii="Cambria" w:hAnsi="Cambria"/>
          <w:color w:val="000000" w:themeColor="text1"/>
          <w:sz w:val="24"/>
          <w:szCs w:val="24"/>
          <w:lang w:val="sv-SE"/>
        </w:rPr>
        <w:t>, </w:t>
      </w:r>
      <w:r w:rsidRPr="00592DD5">
        <w:rPr>
          <w:rFonts w:ascii="Cambria" w:hAnsi="Cambria"/>
          <w:i/>
          <w:iCs/>
          <w:color w:val="000000" w:themeColor="text1"/>
          <w:sz w:val="24"/>
          <w:szCs w:val="24"/>
          <w:lang w:val="sv-SE"/>
        </w:rPr>
        <w:t>10</w:t>
      </w:r>
      <w:r w:rsidRPr="00592DD5">
        <w:rPr>
          <w:rFonts w:ascii="Cambria" w:hAnsi="Cambria"/>
          <w:color w:val="000000" w:themeColor="text1"/>
          <w:sz w:val="24"/>
          <w:szCs w:val="24"/>
          <w:lang w:val="sv-SE"/>
        </w:rPr>
        <w:t>(1). Springer Nature. </w:t>
      </w:r>
      <w:hyperlink r:id="rId26" w:tgtFrame="_blank" w:history="1">
        <w:r w:rsidRPr="00592DD5">
          <w:rPr>
            <w:rStyle w:val="Hyperlink"/>
            <w:rFonts w:ascii="Cambria" w:hAnsi="Cambria"/>
            <w:color w:val="000000" w:themeColor="text1"/>
            <w:sz w:val="24"/>
            <w:szCs w:val="24"/>
            <w:u w:val="none"/>
            <w:lang w:val="sv-SE"/>
          </w:rPr>
          <w:t>https://doi.org/10.1186/s40561-023-00260-y</w:t>
        </w:r>
      </w:hyperlink>
    </w:p>
    <w:p w14:paraId="21FF9C6E" w14:textId="34118212" w:rsidR="00131FBD" w:rsidRPr="00592DD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592DD5">
        <w:rPr>
          <w:rFonts w:ascii="Cambria" w:hAnsi="Cambria" w:cs="Times New Roman"/>
          <w:noProof/>
          <w:color w:val="000000" w:themeColor="text1"/>
          <w:sz w:val="24"/>
          <w:szCs w:val="24"/>
          <w:lang w:val="sv-SE"/>
        </w:rPr>
        <w:t xml:space="preserve">Masluhah, Rizkiatul Afifah, K., &amp; Hafid, A. (2022). Efektivitas Media Pembelajaran Berbasis Infografis terhadap Hasil Belajar Siswa </w:t>
      </w:r>
      <w:r w:rsidR="00BD7A1D">
        <w:rPr>
          <w:rFonts w:ascii="Cambria" w:hAnsi="Cambria" w:cs="Times New Roman"/>
          <w:noProof/>
          <w:color w:val="000000" w:themeColor="text1"/>
          <w:sz w:val="24"/>
          <w:szCs w:val="24"/>
          <w:lang w:val="sv-SE"/>
        </w:rPr>
        <w:t>pada</w:t>
      </w:r>
      <w:r w:rsidRPr="00592DD5">
        <w:rPr>
          <w:rFonts w:ascii="Cambria" w:hAnsi="Cambria" w:cs="Times New Roman"/>
          <w:noProof/>
          <w:color w:val="000000" w:themeColor="text1"/>
          <w:sz w:val="24"/>
          <w:szCs w:val="24"/>
          <w:lang w:val="sv-SE"/>
        </w:rPr>
        <w:t xml:space="preserve"> Mata Pelajaran IPS. </w:t>
      </w:r>
      <w:r w:rsidRPr="00FA3D75">
        <w:rPr>
          <w:rFonts w:ascii="Cambria" w:hAnsi="Cambria" w:cs="Times New Roman"/>
          <w:i/>
          <w:iCs/>
          <w:noProof/>
          <w:color w:val="000000" w:themeColor="text1"/>
          <w:sz w:val="24"/>
          <w:szCs w:val="24"/>
          <w:lang w:val="sv-SE"/>
        </w:rPr>
        <w:t xml:space="preserve">Jurnal Teori </w:t>
      </w:r>
      <w:r w:rsidR="00BD7A1D">
        <w:rPr>
          <w:rFonts w:ascii="Cambria" w:hAnsi="Cambria" w:cs="Times New Roman"/>
          <w:i/>
          <w:iCs/>
          <w:noProof/>
          <w:color w:val="000000" w:themeColor="text1"/>
          <w:sz w:val="24"/>
          <w:szCs w:val="24"/>
          <w:lang w:val="sv-SE"/>
        </w:rPr>
        <w:t>dan</w:t>
      </w:r>
      <w:r w:rsidRPr="00FA3D75">
        <w:rPr>
          <w:rFonts w:ascii="Cambria" w:hAnsi="Cambria" w:cs="Times New Roman"/>
          <w:i/>
          <w:iCs/>
          <w:noProof/>
          <w:color w:val="000000" w:themeColor="text1"/>
          <w:sz w:val="24"/>
          <w:szCs w:val="24"/>
          <w:lang w:val="sv-SE"/>
        </w:rPr>
        <w:t xml:space="preserve"> Praksis Pembelajaran IPS</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7</w:t>
      </w:r>
      <w:r w:rsidRPr="00FA3D75">
        <w:rPr>
          <w:rFonts w:ascii="Cambria" w:hAnsi="Cambria" w:cs="Times New Roman"/>
          <w:noProof/>
          <w:color w:val="000000" w:themeColor="text1"/>
          <w:sz w:val="24"/>
          <w:szCs w:val="24"/>
          <w:lang w:val="sv-SE"/>
        </w:rPr>
        <w:t>(1), 11–20. https://doi.org/10.17977/UM022V7I12022P11</w:t>
      </w:r>
    </w:p>
    <w:p w14:paraId="6620E89F"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Melati, E., Dara Fayola, A., Putu Agus Dharma Hita, I., Muh Akbar Saputra, A., &amp; Ninasari, A. (2023). Pemanfaatan Animasi sebagai Media Pembelajaran Berbasis Teknologi untuk Meningkatkan Motivasi Belajar. </w:t>
      </w:r>
      <w:r w:rsidRPr="00FA3D75">
        <w:rPr>
          <w:rFonts w:ascii="Cambria" w:hAnsi="Cambria" w:cs="Times New Roman"/>
          <w:i/>
          <w:iCs/>
          <w:noProof/>
          <w:color w:val="000000" w:themeColor="text1"/>
          <w:sz w:val="24"/>
          <w:szCs w:val="24"/>
        </w:rPr>
        <w:t>Journal on Education</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06</w:t>
      </w:r>
      <w:r w:rsidRPr="00FA3D75">
        <w:rPr>
          <w:rFonts w:ascii="Cambria" w:hAnsi="Cambria" w:cs="Times New Roman"/>
          <w:noProof/>
          <w:color w:val="000000" w:themeColor="text1"/>
          <w:sz w:val="24"/>
          <w:szCs w:val="24"/>
        </w:rPr>
        <w:t>(01), 732–741.</w:t>
      </w:r>
    </w:p>
    <w:p w14:paraId="1789129A"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rPr>
        <w:t xml:space="preserve">Miles, M. B., Huberman, A. M., &amp; Saldaña, J. (2021). Qualitative Data Analysis. In </w:t>
      </w:r>
      <w:r w:rsidRPr="00FA3D75">
        <w:rPr>
          <w:rFonts w:ascii="Cambria" w:hAnsi="Cambria" w:cs="Times New Roman"/>
          <w:i/>
          <w:iCs/>
          <w:noProof/>
          <w:color w:val="000000" w:themeColor="text1"/>
          <w:sz w:val="24"/>
          <w:szCs w:val="24"/>
        </w:rPr>
        <w:t>SAGE</w:t>
      </w:r>
      <w:r w:rsidRPr="00FA3D75">
        <w:rPr>
          <w:rFonts w:ascii="Cambria" w:hAnsi="Cambria" w:cs="Times New Roman"/>
          <w:noProof/>
          <w:color w:val="000000" w:themeColor="text1"/>
          <w:sz w:val="24"/>
          <w:szCs w:val="24"/>
        </w:rPr>
        <w:t xml:space="preserve"> (3rd ed.). SAGE. https://doi.org/10.4324/9781315697239-20</w:t>
      </w:r>
    </w:p>
    <w:p w14:paraId="009B5492" w14:textId="6D8889C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rPr>
        <w:t xml:space="preserve">Muin, A., Firdaus, F., &amp; Shari, A. M. (2022). </w:t>
      </w:r>
      <w:r w:rsidRPr="00FA3D75">
        <w:rPr>
          <w:rFonts w:ascii="Cambria" w:hAnsi="Cambria" w:cs="Times New Roman"/>
          <w:noProof/>
          <w:color w:val="000000" w:themeColor="text1"/>
          <w:sz w:val="24"/>
          <w:szCs w:val="24"/>
          <w:lang w:val="sv-SE"/>
        </w:rPr>
        <w:t>Efektivitas Media Aplikasi Ruangguru terhadap Hasil Belajar Matematika Siswa Kelas V SDN 146 Bengo</w:t>
      </w:r>
      <w:r w:rsidR="00BD7A1D">
        <w:rPr>
          <w:rFonts w:ascii="Cambria" w:hAnsi="Cambria" w:cs="Times New Roman"/>
          <w:noProof/>
          <w:color w:val="000000" w:themeColor="text1"/>
          <w:sz w:val="24"/>
          <w:szCs w:val="24"/>
          <w:lang w:val="sv-SE"/>
        </w:rPr>
        <w:t>, Kecamatan Bengo,</w:t>
      </w:r>
      <w:r w:rsidRPr="00FA3D75">
        <w:rPr>
          <w:rFonts w:ascii="Cambria" w:hAnsi="Cambria" w:cs="Times New Roman"/>
          <w:noProof/>
          <w:color w:val="000000" w:themeColor="text1"/>
          <w:sz w:val="24"/>
          <w:szCs w:val="24"/>
          <w:lang w:val="sv-SE"/>
        </w:rPr>
        <w:t xml:space="preserve"> Kabupaten Bone. </w:t>
      </w:r>
      <w:r w:rsidRPr="00FA3D75">
        <w:rPr>
          <w:rFonts w:ascii="Cambria" w:hAnsi="Cambria" w:cs="Times New Roman"/>
          <w:i/>
          <w:iCs/>
          <w:noProof/>
          <w:color w:val="000000" w:themeColor="text1"/>
          <w:sz w:val="24"/>
          <w:szCs w:val="24"/>
          <w:lang w:val="sv-SE"/>
        </w:rPr>
        <w:t xml:space="preserve">JPPSD: Jurnal Pendidikan </w:t>
      </w:r>
      <w:r w:rsidR="00BD7A1D">
        <w:rPr>
          <w:rFonts w:ascii="Cambria" w:hAnsi="Cambria" w:cs="Times New Roman"/>
          <w:i/>
          <w:iCs/>
          <w:noProof/>
          <w:color w:val="000000" w:themeColor="text1"/>
          <w:sz w:val="24"/>
          <w:szCs w:val="24"/>
          <w:lang w:val="sv-SE"/>
        </w:rPr>
        <w:t>dan</w:t>
      </w:r>
      <w:r w:rsidRPr="00FA3D75">
        <w:rPr>
          <w:rFonts w:ascii="Cambria" w:hAnsi="Cambria" w:cs="Times New Roman"/>
          <w:i/>
          <w:iCs/>
          <w:noProof/>
          <w:color w:val="000000" w:themeColor="text1"/>
          <w:sz w:val="24"/>
          <w:szCs w:val="24"/>
          <w:lang w:val="sv-SE"/>
        </w:rPr>
        <w:t xml:space="preserve"> Pembelajaran Sekolah Dasar</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2</w:t>
      </w:r>
      <w:r w:rsidRPr="00FA3D75">
        <w:rPr>
          <w:rFonts w:ascii="Cambria" w:hAnsi="Cambria" w:cs="Times New Roman"/>
          <w:noProof/>
          <w:color w:val="000000" w:themeColor="text1"/>
          <w:sz w:val="24"/>
          <w:szCs w:val="24"/>
          <w:lang w:val="sv-SE"/>
        </w:rPr>
        <w:t>(3), 374–382. https://doi.org/10.26858/PJPPSD.V2I3.36018</w:t>
      </w:r>
    </w:p>
    <w:p w14:paraId="62082879"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Nisa, K., &amp; Aryanti, L. D. (2023). Penggunaan Media Interaktif Terhadap Motivasi Belajar Siswa. </w:t>
      </w:r>
      <w:r w:rsidRPr="00FA3D75">
        <w:rPr>
          <w:rFonts w:ascii="Cambria" w:hAnsi="Cambria" w:cs="Times New Roman"/>
          <w:i/>
          <w:iCs/>
          <w:noProof/>
          <w:color w:val="000000" w:themeColor="text1"/>
          <w:sz w:val="24"/>
          <w:szCs w:val="24"/>
        </w:rPr>
        <w:t>Hijri</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12</w:t>
      </w:r>
      <w:r w:rsidRPr="00FA3D75">
        <w:rPr>
          <w:rFonts w:ascii="Cambria" w:hAnsi="Cambria" w:cs="Times New Roman"/>
          <w:noProof/>
          <w:color w:val="000000" w:themeColor="text1"/>
          <w:sz w:val="24"/>
          <w:szCs w:val="24"/>
        </w:rPr>
        <w:t>(1), 31–37. https://doi.org/10.30821/HIJRI.V12I1.16431</w:t>
      </w:r>
    </w:p>
    <w:p w14:paraId="6E059614" w14:textId="79D07C16"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rPr>
        <w:t>Pasha, A. S., &amp; Rahmanto, M. A. (2025). Interactive Media in Islamic Education: Enhancing Engagement Amid Infrastructure Challenges at Muhammadiyah 12 Senior High School</w:t>
      </w:r>
      <w:r w:rsidR="00BD7A1D">
        <w:rPr>
          <w:rFonts w:ascii="Cambria" w:hAnsi="Cambria" w:cs="Times New Roman"/>
          <w:noProof/>
          <w:color w:val="000000" w:themeColor="text1"/>
          <w:sz w:val="24"/>
          <w:szCs w:val="24"/>
        </w:rPr>
        <w:t>,</w:t>
      </w:r>
      <w:r w:rsidRPr="00FA3D75">
        <w:rPr>
          <w:rFonts w:ascii="Cambria" w:hAnsi="Cambria" w:cs="Times New Roman"/>
          <w:noProof/>
          <w:color w:val="000000" w:themeColor="text1"/>
          <w:sz w:val="24"/>
          <w:szCs w:val="24"/>
        </w:rPr>
        <w:t xml:space="preserve"> Jakarta. </w:t>
      </w:r>
      <w:r w:rsidRPr="00FA3D75">
        <w:rPr>
          <w:rFonts w:ascii="Cambria" w:hAnsi="Cambria" w:cs="Times New Roman"/>
          <w:i/>
          <w:iCs/>
          <w:noProof/>
          <w:color w:val="000000" w:themeColor="text1"/>
          <w:sz w:val="24"/>
          <w:szCs w:val="24"/>
          <w:lang w:val="sv-SE"/>
        </w:rPr>
        <w:t>Asatiza: Jurnal Pendidikan</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6</w:t>
      </w:r>
      <w:r w:rsidRPr="00FA3D75">
        <w:rPr>
          <w:rFonts w:ascii="Cambria" w:hAnsi="Cambria" w:cs="Times New Roman"/>
          <w:noProof/>
          <w:color w:val="000000" w:themeColor="text1"/>
          <w:sz w:val="24"/>
          <w:szCs w:val="24"/>
          <w:lang w:val="sv-SE"/>
        </w:rPr>
        <w:t>(2), 118–131. https://doi.org/10.46963/ASATIZA.V6I2.2645</w:t>
      </w:r>
    </w:p>
    <w:p w14:paraId="3EEF6D32" w14:textId="77777777" w:rsidR="00FA3D75" w:rsidRPr="00592DD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Rayhani, A., Hanapi, W., &amp; Cahyadi, A. (2024). Pengembangan Teknologi dalam Desain Pembelajaran PAI. </w:t>
      </w:r>
      <w:r w:rsidRPr="00592DD5">
        <w:rPr>
          <w:rFonts w:ascii="Cambria" w:hAnsi="Cambria" w:cs="Times New Roman"/>
          <w:i/>
          <w:iCs/>
          <w:noProof/>
          <w:color w:val="000000" w:themeColor="text1"/>
          <w:sz w:val="24"/>
          <w:szCs w:val="24"/>
        </w:rPr>
        <w:t>Berajah Journal</w:t>
      </w:r>
      <w:r w:rsidRPr="00592DD5">
        <w:rPr>
          <w:rFonts w:ascii="Cambria" w:hAnsi="Cambria" w:cs="Times New Roman"/>
          <w:noProof/>
          <w:color w:val="000000" w:themeColor="text1"/>
          <w:sz w:val="24"/>
          <w:szCs w:val="24"/>
        </w:rPr>
        <w:t xml:space="preserve">, </w:t>
      </w:r>
      <w:r w:rsidRPr="00592DD5">
        <w:rPr>
          <w:rFonts w:ascii="Cambria" w:hAnsi="Cambria" w:cs="Times New Roman"/>
          <w:i/>
          <w:iCs/>
          <w:noProof/>
          <w:color w:val="000000" w:themeColor="text1"/>
          <w:sz w:val="24"/>
          <w:szCs w:val="24"/>
        </w:rPr>
        <w:t>4</w:t>
      </w:r>
      <w:r w:rsidRPr="00592DD5">
        <w:rPr>
          <w:rFonts w:ascii="Cambria" w:hAnsi="Cambria" w:cs="Times New Roman"/>
          <w:noProof/>
          <w:color w:val="000000" w:themeColor="text1"/>
          <w:sz w:val="24"/>
          <w:szCs w:val="24"/>
        </w:rPr>
        <w:t>(3), 615–624. https://doi.org/10.47353/BJ.V4I3.352</w:t>
      </w:r>
    </w:p>
    <w:p w14:paraId="340C0E8C" w14:textId="3B5B76F5" w:rsidR="00FA3D75" w:rsidRPr="00592DD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olor w:val="000000" w:themeColor="text1"/>
          <w:sz w:val="24"/>
          <w:szCs w:val="24"/>
        </w:rPr>
        <w:t>Rizki, B. (2023). Learning Methodology of Tahfiz Al-Qur’an in Islamic Elementary School. </w:t>
      </w:r>
      <w:r w:rsidRPr="00FA3D75">
        <w:rPr>
          <w:rFonts w:ascii="Cambria" w:hAnsi="Cambria"/>
          <w:i/>
          <w:iCs/>
          <w:color w:val="000000" w:themeColor="text1"/>
          <w:sz w:val="24"/>
          <w:szCs w:val="24"/>
        </w:rPr>
        <w:t>SCAFFOLDING Jurnal Pendidikan Islam Dan Multikulturalisme</w:t>
      </w:r>
      <w:r w:rsidRPr="00FA3D75">
        <w:rPr>
          <w:rFonts w:ascii="Cambria" w:hAnsi="Cambria"/>
          <w:color w:val="000000" w:themeColor="text1"/>
          <w:sz w:val="24"/>
          <w:szCs w:val="24"/>
        </w:rPr>
        <w:t>, </w:t>
      </w:r>
      <w:r w:rsidRPr="00FA3D75">
        <w:rPr>
          <w:rFonts w:ascii="Cambria" w:hAnsi="Cambria"/>
          <w:i/>
          <w:iCs/>
          <w:color w:val="000000" w:themeColor="text1"/>
          <w:sz w:val="24"/>
          <w:szCs w:val="24"/>
        </w:rPr>
        <w:t>5</w:t>
      </w:r>
      <w:r w:rsidRPr="00FA3D75">
        <w:rPr>
          <w:rFonts w:ascii="Cambria" w:hAnsi="Cambria"/>
          <w:color w:val="000000" w:themeColor="text1"/>
          <w:sz w:val="24"/>
          <w:szCs w:val="24"/>
        </w:rPr>
        <w:t>(1), 832–848. </w:t>
      </w:r>
      <w:hyperlink r:id="rId27" w:tgtFrame="_blank" w:history="1">
        <w:r w:rsidRPr="00FA3D75">
          <w:rPr>
            <w:rStyle w:val="Hyperlink"/>
            <w:rFonts w:ascii="Cambria" w:hAnsi="Cambria"/>
            <w:color w:val="000000" w:themeColor="text1"/>
            <w:sz w:val="24"/>
            <w:szCs w:val="24"/>
            <w:u w:val="none"/>
          </w:rPr>
          <w:t>https://doi.org/10.37680/scaffolding.v5i1.3028</w:t>
        </w:r>
      </w:hyperlink>
    </w:p>
    <w:p w14:paraId="387F5DA8"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592DD5">
        <w:rPr>
          <w:rFonts w:ascii="Cambria" w:hAnsi="Cambria" w:cs="Times New Roman"/>
          <w:noProof/>
          <w:color w:val="000000" w:themeColor="text1"/>
          <w:sz w:val="24"/>
          <w:szCs w:val="24"/>
        </w:rPr>
        <w:t xml:space="preserve">Rohmah, S., &amp; Tegeh, I. M. (2022). Multimedia Interaktif Untuk Meningkatkan Minat dan Hasil Belajar PAI. </w:t>
      </w:r>
      <w:r w:rsidRPr="00FA3D75">
        <w:rPr>
          <w:rFonts w:ascii="Cambria" w:hAnsi="Cambria" w:cs="Times New Roman"/>
          <w:i/>
          <w:iCs/>
          <w:noProof/>
          <w:color w:val="000000" w:themeColor="text1"/>
          <w:sz w:val="24"/>
          <w:szCs w:val="24"/>
          <w:lang w:val="sv-SE"/>
        </w:rPr>
        <w:t>Jurnal Edutech Undiksha</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10</w:t>
      </w:r>
      <w:r w:rsidRPr="00FA3D75">
        <w:rPr>
          <w:rFonts w:ascii="Cambria" w:hAnsi="Cambria" w:cs="Times New Roman"/>
          <w:noProof/>
          <w:color w:val="000000" w:themeColor="text1"/>
          <w:sz w:val="24"/>
          <w:szCs w:val="24"/>
          <w:lang w:val="sv-SE"/>
        </w:rPr>
        <w:t>(2), 215–224. https://doi.org/10.23887/JEU.V10I1.43365</w:t>
      </w:r>
    </w:p>
    <w:p w14:paraId="0938C935" w14:textId="42BCEA1D"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 xml:space="preserve">Rusdi, H., Ervianti, R., Adrias, A., &amp; Zulkarnaini, A. P. (2025). Pengaruh Media Pembelajaran Digital Terhadap Motivasi Belajar Siswa Sekolah Dasar. </w:t>
      </w:r>
      <w:r w:rsidRPr="00FA3D75">
        <w:rPr>
          <w:rFonts w:ascii="Cambria" w:hAnsi="Cambria" w:cs="Times New Roman"/>
          <w:i/>
          <w:iCs/>
          <w:noProof/>
          <w:color w:val="000000" w:themeColor="text1"/>
          <w:sz w:val="24"/>
          <w:szCs w:val="24"/>
          <w:lang w:val="sv-SE"/>
        </w:rPr>
        <w:t xml:space="preserve">Pendas: Jurnal Ilmiah Pendidikan </w:t>
      </w:r>
      <w:r w:rsidR="00BD7A1D">
        <w:rPr>
          <w:rFonts w:ascii="Cambria" w:hAnsi="Cambria" w:cs="Times New Roman"/>
          <w:i/>
          <w:iCs/>
          <w:noProof/>
          <w:color w:val="000000" w:themeColor="text1"/>
          <w:sz w:val="24"/>
          <w:szCs w:val="24"/>
          <w:lang w:val="sv-SE"/>
        </w:rPr>
        <w:t>Dasar PP8</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10</w:t>
      </w:r>
      <w:r w:rsidRPr="00FA3D75">
        <w:rPr>
          <w:rFonts w:ascii="Cambria" w:hAnsi="Cambria" w:cs="Times New Roman"/>
          <w:noProof/>
          <w:color w:val="000000" w:themeColor="text1"/>
          <w:sz w:val="24"/>
          <w:szCs w:val="24"/>
          <w:lang w:val="sv-SE"/>
        </w:rPr>
        <w:t>(2), 347–360.</w:t>
      </w:r>
    </w:p>
    <w:p w14:paraId="628B9B31"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Ruswandi, A., Firdaus, M. A., Ruswandi, R., &amp; Mahyani, A. (2024). </w:t>
      </w:r>
      <w:r w:rsidRPr="00FA3D75">
        <w:rPr>
          <w:rFonts w:ascii="Cambria" w:hAnsi="Cambria" w:cs="Times New Roman"/>
          <w:noProof/>
          <w:color w:val="000000" w:themeColor="text1"/>
          <w:sz w:val="24"/>
          <w:szCs w:val="24"/>
        </w:rPr>
        <w:t xml:space="preserve">Proceedings of the 7th International Conference on Learning Innovation and Quality Education (ICLIQE). </w:t>
      </w:r>
      <w:r w:rsidRPr="00FA3D75">
        <w:rPr>
          <w:rFonts w:ascii="Cambria" w:hAnsi="Cambria" w:cs="Times New Roman"/>
          <w:i/>
          <w:iCs/>
          <w:noProof/>
          <w:color w:val="000000" w:themeColor="text1"/>
          <w:sz w:val="24"/>
          <w:szCs w:val="24"/>
        </w:rPr>
        <w:t>Readiness of Digital Learning Documents on Islamic Religious Education Teachers in Madrasah</w:t>
      </w:r>
      <w:r w:rsidRPr="00FA3D75">
        <w:rPr>
          <w:rFonts w:ascii="Cambria" w:hAnsi="Cambria" w:cs="Times New Roman"/>
          <w:noProof/>
          <w:color w:val="000000" w:themeColor="text1"/>
          <w:sz w:val="24"/>
          <w:szCs w:val="24"/>
        </w:rPr>
        <w:t>, 906–918. https://doi.org/10.2991/978-2-38476-301-6_88</w:t>
      </w:r>
    </w:p>
    <w:p w14:paraId="20CD95B2"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 xml:space="preserve">Sapitri, S., &amp; Suriani, A. (2025). Efektivitas Media Pembelajaran Interaktif dalam Meningkatkan Minat Belajar Siswa SD. </w:t>
      </w:r>
      <w:r w:rsidRPr="00FA3D75">
        <w:rPr>
          <w:rFonts w:ascii="Cambria" w:hAnsi="Cambria" w:cs="Times New Roman"/>
          <w:i/>
          <w:iCs/>
          <w:noProof/>
          <w:color w:val="000000" w:themeColor="text1"/>
          <w:sz w:val="24"/>
          <w:szCs w:val="24"/>
          <w:lang w:val="sv-SE"/>
        </w:rPr>
        <w:t>Pragmatik : Jurnal Rumpun Ilmu Bahasa Dan Pendidikan </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3</w:t>
      </w:r>
      <w:r w:rsidRPr="00FA3D75">
        <w:rPr>
          <w:rFonts w:ascii="Cambria" w:hAnsi="Cambria" w:cs="Times New Roman"/>
          <w:noProof/>
          <w:color w:val="000000" w:themeColor="text1"/>
          <w:sz w:val="24"/>
          <w:szCs w:val="24"/>
          <w:lang w:val="sv-SE"/>
        </w:rPr>
        <w:t>(3), 282–292. https://doi.org/10.61132/PRAGMATIK.V3I3.1844</w:t>
      </w:r>
    </w:p>
    <w:p w14:paraId="52EC415C" w14:textId="238F2AB4" w:rsid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Setiyadi, D., Rohayati, I., &amp; Zubaidi. (2024). Upaya Meningkatkan Prestasi Belajar Matematika dengan Menggunakan PBL Berbantuan Media Sempoa </w:t>
      </w:r>
      <w:r w:rsidR="00BD7A1D">
        <w:rPr>
          <w:rFonts w:ascii="Cambria" w:hAnsi="Cambria" w:cs="Times New Roman"/>
          <w:noProof/>
          <w:color w:val="000000" w:themeColor="text1"/>
          <w:sz w:val="24"/>
          <w:szCs w:val="24"/>
          <w:lang w:val="sv-SE"/>
        </w:rPr>
        <w:t>pada</w:t>
      </w:r>
      <w:r w:rsidRPr="00FA3D75">
        <w:rPr>
          <w:rFonts w:ascii="Cambria" w:hAnsi="Cambria" w:cs="Times New Roman"/>
          <w:noProof/>
          <w:color w:val="000000" w:themeColor="text1"/>
          <w:sz w:val="24"/>
          <w:szCs w:val="24"/>
          <w:lang w:val="sv-SE"/>
        </w:rPr>
        <w:t xml:space="preserve"> Operasi Hitung Siswa MI. </w:t>
      </w:r>
      <w:r w:rsidRPr="00FA3D75">
        <w:rPr>
          <w:rFonts w:ascii="Cambria" w:hAnsi="Cambria" w:cs="Times New Roman"/>
          <w:i/>
          <w:iCs/>
          <w:noProof/>
          <w:color w:val="000000" w:themeColor="text1"/>
          <w:sz w:val="24"/>
          <w:szCs w:val="24"/>
        </w:rPr>
        <w:t>JISPE Journal of Islamic Primary Education</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5</w:t>
      </w:r>
      <w:r w:rsidRPr="00FA3D75">
        <w:rPr>
          <w:rFonts w:ascii="Cambria" w:hAnsi="Cambria" w:cs="Times New Roman"/>
          <w:noProof/>
          <w:color w:val="000000" w:themeColor="text1"/>
          <w:sz w:val="24"/>
          <w:szCs w:val="24"/>
        </w:rPr>
        <w:t>(01), 30–44. https://doi.org/10.51875/JISPE.V5I01.297</w:t>
      </w:r>
    </w:p>
    <w:p w14:paraId="29FDF5EC" w14:textId="75C2F2DF" w:rsidR="00FA3D75" w:rsidRPr="00FA3D75" w:rsidRDefault="00FA3D75"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olor w:val="000000" w:themeColor="text1"/>
          <w:sz w:val="24"/>
          <w:szCs w:val="24"/>
          <w:lang w:val="sv-SE"/>
        </w:rPr>
        <w:t xml:space="preserve">Shukri, N. H. A., Nasir, M. K. M., &amp; Razak, K. A. (2020). </w:t>
      </w:r>
      <w:r w:rsidRPr="00FA3D75">
        <w:rPr>
          <w:rFonts w:ascii="Cambria" w:hAnsi="Cambria"/>
          <w:color w:val="000000" w:themeColor="text1"/>
          <w:sz w:val="24"/>
          <w:szCs w:val="24"/>
        </w:rPr>
        <w:t>Educational Strategies on Memorizing the Quran: A Review of Literature [Review of </w:t>
      </w:r>
      <w:r w:rsidRPr="00FA3D75">
        <w:rPr>
          <w:rFonts w:ascii="Cambria" w:hAnsi="Cambria"/>
          <w:i/>
          <w:iCs/>
          <w:color w:val="000000" w:themeColor="text1"/>
          <w:sz w:val="24"/>
          <w:szCs w:val="24"/>
        </w:rPr>
        <w:t>Educational Strategies on Memorizing the Quran: A Review of Literature</w:t>
      </w:r>
      <w:r w:rsidRPr="00FA3D75">
        <w:rPr>
          <w:rFonts w:ascii="Cambria" w:hAnsi="Cambria"/>
          <w:color w:val="000000" w:themeColor="text1"/>
          <w:sz w:val="24"/>
          <w:szCs w:val="24"/>
        </w:rPr>
        <w:t>]. </w:t>
      </w:r>
      <w:r w:rsidRPr="00FA3D75">
        <w:rPr>
          <w:rFonts w:ascii="Cambria" w:hAnsi="Cambria"/>
          <w:i/>
          <w:iCs/>
          <w:color w:val="000000" w:themeColor="text1"/>
          <w:sz w:val="24"/>
          <w:szCs w:val="24"/>
        </w:rPr>
        <w:t>International Journal of Academic Research in Progressive Education and Development</w:t>
      </w:r>
      <w:r w:rsidRPr="00FA3D75">
        <w:rPr>
          <w:rFonts w:ascii="Cambria" w:hAnsi="Cambria"/>
          <w:color w:val="000000" w:themeColor="text1"/>
          <w:sz w:val="24"/>
          <w:szCs w:val="24"/>
        </w:rPr>
        <w:t>, </w:t>
      </w:r>
      <w:r w:rsidRPr="00FA3D75">
        <w:rPr>
          <w:rFonts w:ascii="Cambria" w:hAnsi="Cambria"/>
          <w:i/>
          <w:iCs/>
          <w:color w:val="000000" w:themeColor="text1"/>
          <w:sz w:val="24"/>
          <w:szCs w:val="24"/>
        </w:rPr>
        <w:t>9</w:t>
      </w:r>
      <w:r w:rsidRPr="00FA3D75">
        <w:rPr>
          <w:rFonts w:ascii="Cambria" w:hAnsi="Cambria"/>
          <w:color w:val="000000" w:themeColor="text1"/>
          <w:sz w:val="24"/>
          <w:szCs w:val="24"/>
        </w:rPr>
        <w:t>(2). </w:t>
      </w:r>
      <w:hyperlink r:id="rId28" w:tgtFrame="_blank" w:history="1">
        <w:r w:rsidRPr="00FA3D75">
          <w:rPr>
            <w:rStyle w:val="Hyperlink"/>
            <w:rFonts w:ascii="Cambria" w:hAnsi="Cambria"/>
            <w:color w:val="000000" w:themeColor="text1"/>
            <w:sz w:val="24"/>
            <w:szCs w:val="24"/>
            <w:u w:val="none"/>
          </w:rPr>
          <w:t>https://doi.org/10.6007/ijarped/v9-i2/7649</w:t>
        </w:r>
      </w:hyperlink>
    </w:p>
    <w:p w14:paraId="08CDDCEB" w14:textId="2A3D9FE8"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 xml:space="preserve">Sugiyono. (2023). </w:t>
      </w:r>
      <w:r w:rsidRPr="00FA3D75">
        <w:rPr>
          <w:rFonts w:ascii="Cambria" w:hAnsi="Cambria" w:cs="Times New Roman"/>
          <w:i/>
          <w:iCs/>
          <w:noProof/>
          <w:color w:val="000000" w:themeColor="text1"/>
          <w:sz w:val="24"/>
          <w:szCs w:val="24"/>
          <w:lang w:val="sv-SE"/>
        </w:rPr>
        <w:t xml:space="preserve">Buku Metode Penelitian Pendidikan (Kuantitatif, </w:t>
      </w:r>
      <w:r w:rsidR="00BD7A1D">
        <w:rPr>
          <w:rFonts w:ascii="Cambria" w:hAnsi="Cambria" w:cs="Times New Roman"/>
          <w:i/>
          <w:iCs/>
          <w:noProof/>
          <w:color w:val="000000" w:themeColor="text1"/>
          <w:sz w:val="24"/>
          <w:szCs w:val="24"/>
          <w:lang w:val="sv-SE"/>
        </w:rPr>
        <w:t>Kualitatif, Kombinasi</w:t>
      </w:r>
      <w:r w:rsidRPr="00FA3D75">
        <w:rPr>
          <w:rFonts w:ascii="Cambria" w:hAnsi="Cambria" w:cs="Times New Roman"/>
          <w:i/>
          <w:iCs/>
          <w:noProof/>
          <w:color w:val="000000" w:themeColor="text1"/>
          <w:sz w:val="24"/>
          <w:szCs w:val="24"/>
          <w:lang w:val="sv-SE"/>
        </w:rPr>
        <w:t>, dan Penelitian Pendidikan)</w:t>
      </w:r>
      <w:r w:rsidRPr="00FA3D75">
        <w:rPr>
          <w:rFonts w:ascii="Cambria" w:hAnsi="Cambria" w:cs="Times New Roman"/>
          <w:noProof/>
          <w:color w:val="000000" w:themeColor="text1"/>
          <w:sz w:val="24"/>
          <w:szCs w:val="24"/>
          <w:lang w:val="sv-SE"/>
        </w:rPr>
        <w:t xml:space="preserve"> (2nd ed.). Alfabeta.</w:t>
      </w:r>
    </w:p>
    <w:p w14:paraId="5CA0E7C7" w14:textId="77777777"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lang w:val="sv-SE"/>
        </w:rPr>
      </w:pPr>
      <w:r w:rsidRPr="00FA3D75">
        <w:rPr>
          <w:rFonts w:ascii="Cambria" w:hAnsi="Cambria" w:cs="Times New Roman"/>
          <w:noProof/>
          <w:color w:val="000000" w:themeColor="text1"/>
          <w:sz w:val="24"/>
          <w:szCs w:val="24"/>
          <w:lang w:val="sv-SE"/>
        </w:rPr>
        <w:t xml:space="preserve">Syafaatussalamah, A., Eka Salsabilla, D., &amp; Raya Mojosari, J. (2025). Efektivitas Penggunaan Media Digital dalam Meningkatkan Motivasi Belajar Siswa Sekolah Dasar. </w:t>
      </w:r>
      <w:r w:rsidRPr="00FA3D75">
        <w:rPr>
          <w:rFonts w:ascii="Cambria" w:hAnsi="Cambria" w:cs="Times New Roman"/>
          <w:i/>
          <w:iCs/>
          <w:noProof/>
          <w:color w:val="000000" w:themeColor="text1"/>
          <w:sz w:val="24"/>
          <w:szCs w:val="24"/>
          <w:lang w:val="sv-SE"/>
        </w:rPr>
        <w:t>Al-Tarbiyah : Jurnal Ilmu Pendidikan Islam</w:t>
      </w:r>
      <w:r w:rsidRPr="00FA3D75">
        <w:rPr>
          <w:rFonts w:ascii="Cambria" w:hAnsi="Cambria" w:cs="Times New Roman"/>
          <w:noProof/>
          <w:color w:val="000000" w:themeColor="text1"/>
          <w:sz w:val="24"/>
          <w:szCs w:val="24"/>
          <w:lang w:val="sv-SE"/>
        </w:rPr>
        <w:t xml:space="preserve">, </w:t>
      </w:r>
      <w:r w:rsidRPr="00FA3D75">
        <w:rPr>
          <w:rFonts w:ascii="Cambria" w:hAnsi="Cambria" w:cs="Times New Roman"/>
          <w:i/>
          <w:iCs/>
          <w:noProof/>
          <w:color w:val="000000" w:themeColor="text1"/>
          <w:sz w:val="24"/>
          <w:szCs w:val="24"/>
          <w:lang w:val="sv-SE"/>
        </w:rPr>
        <w:t>3</w:t>
      </w:r>
      <w:r w:rsidRPr="00FA3D75">
        <w:rPr>
          <w:rFonts w:ascii="Cambria" w:hAnsi="Cambria" w:cs="Times New Roman"/>
          <w:noProof/>
          <w:color w:val="000000" w:themeColor="text1"/>
          <w:sz w:val="24"/>
          <w:szCs w:val="24"/>
          <w:lang w:val="sv-SE"/>
        </w:rPr>
        <w:t>(3), 11–24. https://doi.org/10.59059/AL-TARBIYAH.V3I3.2479</w:t>
      </w:r>
    </w:p>
    <w:p w14:paraId="23E8B747" w14:textId="134AC28A" w:rsidR="00131FBD" w:rsidRPr="00FA3D75" w:rsidRDefault="00131FBD" w:rsidP="00FA3D75">
      <w:pPr>
        <w:widowControl w:val="0"/>
        <w:autoSpaceDE w:val="0"/>
        <w:autoSpaceDN w:val="0"/>
        <w:adjustRightInd w:val="0"/>
        <w:spacing w:before="120" w:after="120" w:line="240" w:lineRule="auto"/>
        <w:ind w:left="709" w:hanging="709"/>
        <w:jc w:val="both"/>
        <w:rPr>
          <w:rFonts w:ascii="Cambria" w:hAnsi="Cambria" w:cs="Times New Roman"/>
          <w:noProof/>
          <w:color w:val="000000" w:themeColor="text1"/>
          <w:sz w:val="24"/>
          <w:szCs w:val="24"/>
        </w:rPr>
      </w:pPr>
      <w:r w:rsidRPr="00FA3D75">
        <w:rPr>
          <w:rFonts w:ascii="Cambria" w:hAnsi="Cambria" w:cs="Times New Roman"/>
          <w:noProof/>
          <w:color w:val="000000" w:themeColor="text1"/>
          <w:sz w:val="24"/>
          <w:szCs w:val="24"/>
          <w:lang w:val="sv-SE"/>
        </w:rPr>
        <w:t xml:space="preserve">Ulfa, M. (2021). Blended Learning Berbasis Bimbel Online “Ruangguru” </w:t>
      </w:r>
      <w:r w:rsidR="00BD7A1D">
        <w:rPr>
          <w:rFonts w:ascii="Cambria" w:hAnsi="Cambria" w:cs="Times New Roman"/>
          <w:noProof/>
          <w:color w:val="000000" w:themeColor="text1"/>
          <w:sz w:val="24"/>
          <w:szCs w:val="24"/>
          <w:lang w:val="sv-SE"/>
        </w:rPr>
        <w:t>dalam Meningkatkan Kemandirian Belajar dan</w:t>
      </w:r>
      <w:r w:rsidRPr="00FA3D75">
        <w:rPr>
          <w:rFonts w:ascii="Cambria" w:hAnsi="Cambria" w:cs="Times New Roman"/>
          <w:noProof/>
          <w:color w:val="000000" w:themeColor="text1"/>
          <w:sz w:val="24"/>
          <w:szCs w:val="24"/>
          <w:lang w:val="sv-SE"/>
        </w:rPr>
        <w:t xml:space="preserve"> Hasil Belajar Matematika di MAN 1 Aceh Besar. </w:t>
      </w:r>
      <w:r w:rsidRPr="00FA3D75">
        <w:rPr>
          <w:rFonts w:ascii="Cambria" w:hAnsi="Cambria" w:cs="Times New Roman"/>
          <w:i/>
          <w:iCs/>
          <w:noProof/>
          <w:color w:val="000000" w:themeColor="text1"/>
          <w:sz w:val="24"/>
          <w:szCs w:val="24"/>
        </w:rPr>
        <w:t>Intelektualita: Journal of Education Sciences and Teacher Training</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7</w:t>
      </w:r>
      <w:r w:rsidRPr="00FA3D75">
        <w:rPr>
          <w:rFonts w:ascii="Cambria" w:hAnsi="Cambria" w:cs="Times New Roman"/>
          <w:noProof/>
          <w:color w:val="000000" w:themeColor="text1"/>
          <w:sz w:val="24"/>
          <w:szCs w:val="24"/>
        </w:rPr>
        <w:t>(01). https://doi.org/10.22373/JI.V7I01.9919</w:t>
      </w:r>
    </w:p>
    <w:p w14:paraId="25FA14CB" w14:textId="31CBED8B" w:rsidR="00131FBD" w:rsidRPr="00FA3D75" w:rsidRDefault="00131FBD" w:rsidP="00FA3D75">
      <w:pPr>
        <w:spacing w:before="120" w:after="120" w:line="240" w:lineRule="auto"/>
        <w:ind w:left="709" w:hanging="709"/>
        <w:jc w:val="both"/>
        <w:rPr>
          <w:rFonts w:ascii="Cambria" w:hAnsi="Cambria"/>
          <w:color w:val="000000" w:themeColor="text1"/>
          <w:sz w:val="24"/>
          <w:szCs w:val="24"/>
        </w:rPr>
      </w:pPr>
      <w:r w:rsidRPr="00FA3D75">
        <w:rPr>
          <w:rFonts w:ascii="Cambria" w:hAnsi="Cambria" w:cs="Times New Roman"/>
          <w:noProof/>
          <w:color w:val="000000" w:themeColor="text1"/>
          <w:sz w:val="24"/>
          <w:szCs w:val="24"/>
        </w:rPr>
        <w:t xml:space="preserve">Utami, H. C., &amp; Purnomo, A. R. (2024). </w:t>
      </w:r>
      <w:r w:rsidRPr="00FA3D75">
        <w:rPr>
          <w:rFonts w:ascii="Cambria" w:hAnsi="Cambria" w:cs="Times New Roman"/>
          <w:noProof/>
          <w:color w:val="000000" w:themeColor="text1"/>
          <w:sz w:val="24"/>
          <w:szCs w:val="24"/>
          <w:lang w:val="sv-SE"/>
        </w:rPr>
        <w:t xml:space="preserve">Penggunaan Video Animasi Powtoon untuk Meningkatkan Motivasi Siswa pada Materi Bumi dan Tata Surya. </w:t>
      </w:r>
      <w:r w:rsidRPr="00FA3D75">
        <w:rPr>
          <w:rFonts w:ascii="Cambria" w:hAnsi="Cambria" w:cs="Times New Roman"/>
          <w:i/>
          <w:iCs/>
          <w:noProof/>
          <w:color w:val="000000" w:themeColor="text1"/>
          <w:sz w:val="24"/>
          <w:szCs w:val="24"/>
        </w:rPr>
        <w:t>Jurnal Basicedu</w:t>
      </w:r>
      <w:r w:rsidRPr="00FA3D75">
        <w:rPr>
          <w:rFonts w:ascii="Cambria" w:hAnsi="Cambria" w:cs="Times New Roman"/>
          <w:noProof/>
          <w:color w:val="000000" w:themeColor="text1"/>
          <w:sz w:val="24"/>
          <w:szCs w:val="24"/>
        </w:rPr>
        <w:t xml:space="preserve">, </w:t>
      </w:r>
      <w:r w:rsidRPr="00FA3D75">
        <w:rPr>
          <w:rFonts w:ascii="Cambria" w:hAnsi="Cambria" w:cs="Times New Roman"/>
          <w:i/>
          <w:iCs/>
          <w:noProof/>
          <w:color w:val="000000" w:themeColor="text1"/>
          <w:sz w:val="24"/>
          <w:szCs w:val="24"/>
        </w:rPr>
        <w:t>8</w:t>
      </w:r>
      <w:r w:rsidRPr="00FA3D75">
        <w:rPr>
          <w:rFonts w:ascii="Cambria" w:hAnsi="Cambria" w:cs="Times New Roman"/>
          <w:noProof/>
          <w:color w:val="000000" w:themeColor="text1"/>
          <w:sz w:val="24"/>
          <w:szCs w:val="24"/>
        </w:rPr>
        <w:t>(4), 3094–3103. https://doi.org/10.31004/BASICEDU.V8I4.8506</w:t>
      </w:r>
    </w:p>
    <w:p w14:paraId="112B824E" w14:textId="0DBAE4B8" w:rsidR="00CC01A0" w:rsidRPr="00FA3D75" w:rsidRDefault="00CC01A0" w:rsidP="00FA3D75">
      <w:pPr>
        <w:pStyle w:val="Bibliography"/>
        <w:spacing w:before="120" w:after="120" w:line="240" w:lineRule="auto"/>
        <w:jc w:val="both"/>
        <w:rPr>
          <w:rFonts w:ascii="Cambria" w:hAnsi="Cambria"/>
          <w:color w:val="000000" w:themeColor="text1"/>
          <w:sz w:val="24"/>
          <w:szCs w:val="24"/>
        </w:rPr>
      </w:pPr>
    </w:p>
    <w:p w14:paraId="17EACB59" w14:textId="2D695D5E" w:rsidR="0039525E" w:rsidRPr="00FA3D75" w:rsidRDefault="00916FF5" w:rsidP="00FA3D75">
      <w:pPr>
        <w:pBdr>
          <w:top w:val="nil"/>
          <w:left w:val="nil"/>
          <w:bottom w:val="nil"/>
          <w:right w:val="nil"/>
          <w:between w:val="nil"/>
        </w:pBdr>
        <w:spacing w:before="120" w:after="120" w:line="240" w:lineRule="auto"/>
        <w:ind w:left="720" w:hanging="720"/>
        <w:jc w:val="both"/>
        <w:rPr>
          <w:rFonts w:ascii="Cambria" w:eastAsia="Cambria" w:hAnsi="Cambria" w:cs="Cambria"/>
          <w:color w:val="000000" w:themeColor="text1"/>
          <w:sz w:val="24"/>
          <w:szCs w:val="24"/>
        </w:rPr>
      </w:pPr>
      <w:r w:rsidRPr="00FA3D75">
        <w:rPr>
          <w:rFonts w:ascii="Cambria" w:eastAsia="Cambria" w:hAnsi="Cambria" w:cs="Cambria"/>
          <w:color w:val="000000" w:themeColor="text1"/>
          <w:sz w:val="24"/>
          <w:szCs w:val="24"/>
        </w:rPr>
        <w:fldChar w:fldCharType="end"/>
      </w:r>
    </w:p>
    <w:sectPr w:rsidR="0039525E" w:rsidRPr="00FA3D75" w:rsidSect="009058B0">
      <w:headerReference w:type="even" r:id="rId29"/>
      <w:headerReference w:type="default" r:id="rId30"/>
      <w:footerReference w:type="even" r:id="rId31"/>
      <w:footerReference w:type="default" r:id="rId32"/>
      <w:footerReference w:type="first" r:id="rId33"/>
      <w:pgSz w:w="11907" w:h="16839"/>
      <w:pgMar w:top="1411" w:right="1411" w:bottom="1411" w:left="1411" w:header="706" w:footer="706" w:gutter="0"/>
      <w:pgNumType w:start="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27FB" w14:textId="77777777" w:rsidR="00A5718B" w:rsidRDefault="00A5718B">
      <w:pPr>
        <w:spacing w:after="0" w:line="240" w:lineRule="auto"/>
      </w:pPr>
      <w:r>
        <w:separator/>
      </w:r>
    </w:p>
  </w:endnote>
  <w:endnote w:type="continuationSeparator" w:id="0">
    <w:p w14:paraId="56BD0F44" w14:textId="77777777" w:rsidR="00A5718B" w:rsidRDefault="00A5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43FE1A9-B3D4-4084-98EC-C98E10DF5BFE}"/>
    <w:embedBold r:id="rId2" w:fontKey="{EC1CD119-0328-4B81-A539-08E91581FD01}"/>
    <w:embedItalic r:id="rId3" w:fontKey="{F115D4DB-A0DA-4B28-BC1D-428716DB656D}"/>
    <w:embedBoldItalic r:id="rId4" w:fontKey="{E074BD40-D494-48B9-8816-40F22D33E19A}"/>
  </w:font>
  <w:font w:name="Georgia">
    <w:panose1 w:val="02040502050405020303"/>
    <w:charset w:val="00"/>
    <w:family w:val="roman"/>
    <w:pitch w:val="variable"/>
    <w:sig w:usb0="00000287" w:usb1="00000000" w:usb2="00000000" w:usb3="00000000" w:csb0="0000009F" w:csb1="00000000"/>
    <w:embedItalic r:id="rId5" w:fontKey="{485F0255-D8B8-4E59-ADA8-C488D3C66E8D}"/>
  </w:font>
  <w:font w:name="Segoe UI">
    <w:panose1 w:val="020B0502040204020203"/>
    <w:charset w:val="00"/>
    <w:family w:val="swiss"/>
    <w:pitch w:val="variable"/>
    <w:sig w:usb0="E4002EFF" w:usb1="C000E47F" w:usb2="00000009" w:usb3="00000000" w:csb0="000001FF" w:csb1="00000000"/>
    <w:embedRegular r:id="rId6" w:fontKey="{92D633B6-685D-4BDC-A61E-6C5076DD0F5F}"/>
  </w:font>
  <w:font w:name="Cambria">
    <w:panose1 w:val="02040503050406030204"/>
    <w:charset w:val="00"/>
    <w:family w:val="roman"/>
    <w:pitch w:val="variable"/>
    <w:sig w:usb0="E00006FF" w:usb1="420024FF" w:usb2="02000000" w:usb3="00000000" w:csb0="0000019F" w:csb1="00000000"/>
    <w:embedRegular r:id="rId7" w:fontKey="{031A6EEA-E25E-44FC-87BC-D75C15451182}"/>
    <w:embedBold r:id="rId8" w:fontKey="{A05E5CF5-448F-4BCA-880A-C195D193C502}"/>
    <w:embedItalic r:id="rId9" w:fontKey="{14E39E8F-6E6A-45E7-8909-CB5555B422EB}"/>
    <w:embedBoldItalic r:id="rId10" w:fontKey="{CBB19AC5-9C5E-43F1-BD1E-1D91D72331BB}"/>
  </w:font>
  <w:font w:name="EB Garamond">
    <w:charset w:val="00"/>
    <w:family w:val="auto"/>
    <w:pitch w:val="variable"/>
    <w:sig w:usb0="E00002FF" w:usb1="02000413" w:usb2="00000000" w:usb3="00000000" w:csb0="0000019F" w:csb1="00000000"/>
    <w:embedBold r:id="rId11" w:fontKey="{8C6DE445-C4A8-487F-9462-45A1CA32109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756B" w14:textId="713790FF" w:rsidR="0039525E" w:rsidRDefault="0032098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192D4C">
      <w:rPr>
        <w:rFonts w:ascii="Cambria" w:eastAsia="Cambria" w:hAnsi="Cambria" w:cs="Cambria"/>
        <w:noProof/>
        <w:color w:val="000000"/>
        <w:sz w:val="20"/>
        <w:szCs w:val="20"/>
      </w:rPr>
      <w:t>144</w:t>
    </w:r>
    <w:r>
      <w:rPr>
        <w:rFonts w:ascii="Cambria" w:eastAsia="Cambria" w:hAnsi="Cambria" w:cs="Cambria"/>
        <w:color w:val="000000"/>
        <w:sz w:val="20"/>
        <w:szCs w:val="20"/>
      </w:rPr>
      <w:fldChar w:fldCharType="end"/>
    </w:r>
    <w:r>
      <w:rPr>
        <w:rFonts w:ascii="Cambria" w:eastAsia="Cambria" w:hAnsi="Cambria" w:cs="Cambria"/>
        <w:color w:val="000000"/>
        <w:sz w:val="20"/>
        <w:szCs w:val="20"/>
      </w:rPr>
      <w:tab/>
      <w:t xml:space="preserve">                                                              </w:t>
    </w:r>
    <w:r w:rsidR="00425875" w:rsidRPr="00425875">
      <w:rPr>
        <w:rFonts w:ascii="Cambria" w:eastAsia="Cambria" w:hAnsi="Cambria" w:cs="Cambria"/>
        <w:i/>
        <w:iCs/>
        <w:color w:val="000000"/>
        <w:sz w:val="20"/>
        <w:szCs w:val="20"/>
      </w:rPr>
      <w:t>Southeast Asian Journal of Islamic Education, Volume 09 (01),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584D" w14:textId="6731CAFD" w:rsidR="0039525E" w:rsidRDefault="0042587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sidRPr="00425875">
      <w:rPr>
        <w:rFonts w:ascii="Cambria" w:eastAsia="Cambria" w:hAnsi="Cambria" w:cs="Cambria"/>
        <w:i/>
        <w:iCs/>
        <w:color w:val="000000"/>
        <w:sz w:val="20"/>
        <w:szCs w:val="20"/>
      </w:rPr>
      <w:t>Southeast Asian Journal of Islamic Education, Volume 09 (01), June 2026</w:t>
    </w:r>
    <w:r>
      <w:rPr>
        <w:rFonts w:ascii="Cambria" w:eastAsia="Cambria" w:hAnsi="Cambria" w:cs="Cambria"/>
        <w:i/>
        <w:iCs/>
        <w:color w:val="000000"/>
        <w:sz w:val="20"/>
        <w:szCs w:val="20"/>
      </w:rPr>
      <w:tab/>
    </w:r>
    <w:r w:rsidR="00320985">
      <w:rPr>
        <w:rFonts w:ascii="Cambria" w:eastAsia="Cambria" w:hAnsi="Cambria" w:cs="Cambria"/>
        <w:i/>
        <w:iCs/>
        <w:color w:val="000000"/>
        <w:sz w:val="20"/>
        <w:szCs w:val="20"/>
      </w:rPr>
      <w:t xml:space="preserve">                                                   </w:t>
    </w:r>
    <w:r w:rsidR="00320985">
      <w:rPr>
        <w:rFonts w:ascii="Cambria" w:eastAsia="Cambria" w:hAnsi="Cambria" w:cs="Cambria"/>
        <w:color w:val="000000"/>
        <w:sz w:val="20"/>
        <w:szCs w:val="20"/>
      </w:rPr>
      <w:fldChar w:fldCharType="begin"/>
    </w:r>
    <w:r w:rsidR="00320985">
      <w:rPr>
        <w:rFonts w:ascii="Cambria" w:eastAsia="Cambria" w:hAnsi="Cambria" w:cs="Cambria"/>
        <w:color w:val="000000"/>
        <w:sz w:val="20"/>
        <w:szCs w:val="20"/>
      </w:rPr>
      <w:instrText>PAGE</w:instrText>
    </w:r>
    <w:r w:rsidR="00320985">
      <w:rPr>
        <w:rFonts w:ascii="Cambria" w:eastAsia="Cambria" w:hAnsi="Cambria" w:cs="Cambria"/>
        <w:color w:val="000000"/>
        <w:sz w:val="20"/>
        <w:szCs w:val="20"/>
      </w:rPr>
      <w:fldChar w:fldCharType="separate"/>
    </w:r>
    <w:r w:rsidR="00192D4C">
      <w:rPr>
        <w:rFonts w:ascii="Cambria" w:eastAsia="Cambria" w:hAnsi="Cambria" w:cs="Cambria"/>
        <w:noProof/>
        <w:color w:val="000000"/>
        <w:sz w:val="20"/>
        <w:szCs w:val="20"/>
      </w:rPr>
      <w:t>145</w:t>
    </w:r>
    <w:r w:rsidR="00320985">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CD12" w14:textId="33744055" w:rsidR="0039525E" w:rsidRDefault="0042587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sidRPr="00425875">
      <w:rPr>
        <w:rFonts w:ascii="Cambria" w:eastAsia="Cambria" w:hAnsi="Cambria" w:cs="Cambria"/>
        <w:i/>
        <w:iCs/>
        <w:color w:val="000000"/>
        <w:sz w:val="20"/>
        <w:szCs w:val="20"/>
      </w:rPr>
      <w:t>Southeast Asian Journal of Islamic Education, Volume 09 (01), June 2026</w:t>
    </w:r>
    <w:r>
      <w:rPr>
        <w:rFonts w:ascii="Cambria" w:eastAsia="Cambria" w:hAnsi="Cambria" w:cs="Cambria"/>
        <w:i/>
        <w:iCs/>
        <w:color w:val="000000"/>
        <w:sz w:val="20"/>
        <w:szCs w:val="20"/>
      </w:rPr>
      <w:tab/>
    </w:r>
    <w:r w:rsidR="00320985">
      <w:rPr>
        <w:rFonts w:ascii="Cambria" w:eastAsia="Cambria" w:hAnsi="Cambria" w:cs="Cambria"/>
        <w:color w:val="000000"/>
        <w:sz w:val="20"/>
        <w:szCs w:val="20"/>
      </w:rPr>
      <w:t xml:space="preserve">                                                      </w:t>
    </w:r>
    <w:r w:rsidR="00320985">
      <w:rPr>
        <w:rFonts w:ascii="Cambria" w:eastAsia="Cambria" w:hAnsi="Cambria" w:cs="Cambria"/>
        <w:color w:val="000000"/>
        <w:sz w:val="20"/>
        <w:szCs w:val="20"/>
      </w:rPr>
      <w:fldChar w:fldCharType="begin"/>
    </w:r>
    <w:r w:rsidR="00320985">
      <w:rPr>
        <w:rFonts w:ascii="Cambria" w:eastAsia="Cambria" w:hAnsi="Cambria" w:cs="Cambria"/>
        <w:color w:val="000000"/>
        <w:sz w:val="20"/>
        <w:szCs w:val="20"/>
      </w:rPr>
      <w:instrText>PAGE</w:instrText>
    </w:r>
    <w:r w:rsidR="00320985">
      <w:rPr>
        <w:rFonts w:ascii="Cambria" w:eastAsia="Cambria" w:hAnsi="Cambria" w:cs="Cambria"/>
        <w:color w:val="000000"/>
        <w:sz w:val="20"/>
        <w:szCs w:val="20"/>
      </w:rPr>
      <w:fldChar w:fldCharType="separate"/>
    </w:r>
    <w:r w:rsidR="00192D4C">
      <w:rPr>
        <w:rFonts w:ascii="Cambria" w:eastAsia="Cambria" w:hAnsi="Cambria" w:cs="Cambria"/>
        <w:noProof/>
        <w:color w:val="000000"/>
        <w:sz w:val="20"/>
        <w:szCs w:val="20"/>
      </w:rPr>
      <w:t>143</w:t>
    </w:r>
    <w:r w:rsidR="00320985">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32CA" w14:textId="77777777" w:rsidR="00A5718B" w:rsidRDefault="00A5718B">
      <w:pPr>
        <w:spacing w:after="0" w:line="240" w:lineRule="auto"/>
      </w:pPr>
      <w:r>
        <w:separator/>
      </w:r>
    </w:p>
  </w:footnote>
  <w:footnote w:type="continuationSeparator" w:id="0">
    <w:p w14:paraId="0961E797" w14:textId="77777777" w:rsidR="00A5718B" w:rsidRDefault="00A5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7DE1" w14:textId="6CFA39E4" w:rsidR="0039525E" w:rsidRPr="009058B0" w:rsidRDefault="009058B0" w:rsidP="00C82BF1">
    <w:pPr>
      <w:pBdr>
        <w:top w:val="nil"/>
        <w:left w:val="nil"/>
        <w:bottom w:val="nil"/>
        <w:right w:val="nil"/>
        <w:between w:val="nil"/>
      </w:pBdr>
      <w:tabs>
        <w:tab w:val="center" w:pos="4680"/>
        <w:tab w:val="right" w:pos="9360"/>
        <w:tab w:val="center" w:pos="4135"/>
        <w:tab w:val="right" w:pos="8271"/>
        <w:tab w:val="left" w:pos="9000"/>
      </w:tabs>
      <w:spacing w:after="0" w:line="240" w:lineRule="auto"/>
      <w:jc w:val="center"/>
      <w:rPr>
        <w:rFonts w:ascii="Cambria" w:eastAsia="Cambria" w:hAnsi="Cambria" w:cs="Cambria"/>
        <w:i/>
        <w:iCs/>
        <w:color w:val="000000"/>
        <w:sz w:val="20"/>
        <w:szCs w:val="20"/>
      </w:rPr>
    </w:pPr>
    <w:r w:rsidRPr="009058B0">
      <w:rPr>
        <w:rFonts w:ascii="Cambria" w:eastAsia="Cambria" w:hAnsi="Cambria" w:cs="Cambria"/>
        <w:i/>
        <w:iCs/>
        <w:color w:val="000000"/>
        <w:sz w:val="20"/>
        <w:szCs w:val="20"/>
      </w:rPr>
      <w:t xml:space="preserve">Susanto, </w:t>
    </w:r>
    <w:proofErr w:type="spellStart"/>
    <w:r w:rsidRPr="009058B0">
      <w:rPr>
        <w:rFonts w:ascii="Cambria" w:eastAsia="Cambria" w:hAnsi="Cambria" w:cs="Cambria"/>
        <w:i/>
        <w:iCs/>
        <w:color w:val="000000"/>
        <w:sz w:val="20"/>
        <w:szCs w:val="20"/>
      </w:rPr>
      <w:t>Misbahul</w:t>
    </w:r>
    <w:proofErr w:type="spellEnd"/>
    <w:r w:rsidRPr="009058B0">
      <w:rPr>
        <w:rFonts w:ascii="Cambria" w:eastAsia="Cambria" w:hAnsi="Cambria" w:cs="Cambria"/>
        <w:i/>
        <w:iCs/>
        <w:color w:val="000000"/>
        <w:sz w:val="20"/>
        <w:szCs w:val="20"/>
      </w:rPr>
      <w:t xml:space="preserve"> </w:t>
    </w:r>
    <w:proofErr w:type="spellStart"/>
    <w:r w:rsidRPr="009058B0">
      <w:rPr>
        <w:rFonts w:ascii="Cambria" w:eastAsia="Cambria" w:hAnsi="Cambria" w:cs="Cambria"/>
        <w:i/>
        <w:iCs/>
        <w:color w:val="000000"/>
        <w:sz w:val="20"/>
        <w:szCs w:val="20"/>
      </w:rPr>
      <w:t>Khairani</w:t>
    </w:r>
    <w:proofErr w:type="spellEnd"/>
    <w:r w:rsidRPr="009058B0">
      <w:rPr>
        <w:rFonts w:ascii="Cambria" w:eastAsia="Cambria" w:hAnsi="Cambria" w:cs="Cambria"/>
        <w:i/>
        <w:iCs/>
        <w:color w:val="000000"/>
        <w:sz w:val="20"/>
        <w:szCs w:val="20"/>
      </w:rPr>
      <w:t xml:space="preserve">, Noor Malihah, </w:t>
    </w:r>
    <w:r w:rsidR="00C148A5">
      <w:rPr>
        <w:rFonts w:ascii="Cambria" w:eastAsia="Cambria" w:hAnsi="Cambria" w:cs="Cambria"/>
        <w:i/>
        <w:iCs/>
        <w:color w:val="000000"/>
        <w:sz w:val="20"/>
        <w:szCs w:val="20"/>
      </w:rPr>
      <w:t xml:space="preserve">&amp; </w:t>
    </w:r>
    <w:proofErr w:type="spellStart"/>
    <w:r w:rsidRPr="009058B0">
      <w:rPr>
        <w:rFonts w:ascii="Cambria" w:eastAsia="Cambria" w:hAnsi="Cambria" w:cs="Cambria"/>
        <w:i/>
        <w:iCs/>
        <w:color w:val="000000"/>
        <w:sz w:val="20"/>
        <w:szCs w:val="20"/>
      </w:rPr>
      <w:t>Ferli</w:t>
    </w:r>
    <w:proofErr w:type="spellEnd"/>
    <w:r w:rsidRPr="009058B0">
      <w:rPr>
        <w:rFonts w:ascii="Cambria" w:eastAsia="Cambria" w:hAnsi="Cambria" w:cs="Cambria"/>
        <w:i/>
        <w:iCs/>
        <w:color w:val="000000"/>
        <w:sz w:val="20"/>
        <w:szCs w:val="20"/>
      </w:rPr>
      <w:t xml:space="preserve"> </w:t>
    </w:r>
    <w:proofErr w:type="spellStart"/>
    <w:r w:rsidRPr="009058B0">
      <w:rPr>
        <w:rFonts w:ascii="Cambria" w:eastAsia="Cambria" w:hAnsi="Cambria" w:cs="Cambria"/>
        <w:i/>
        <w:iCs/>
        <w:color w:val="000000"/>
        <w:sz w:val="20"/>
        <w:szCs w:val="20"/>
      </w:rPr>
      <w:t>Septi</w:t>
    </w:r>
    <w:proofErr w:type="spellEnd"/>
    <w:r w:rsidRPr="009058B0">
      <w:rPr>
        <w:rFonts w:ascii="Cambria" w:eastAsia="Cambria" w:hAnsi="Cambria" w:cs="Cambria"/>
        <w:i/>
        <w:iCs/>
        <w:color w:val="000000"/>
        <w:sz w:val="20"/>
        <w:szCs w:val="20"/>
      </w:rPr>
      <w:t xml:space="preserve"> </w:t>
    </w:r>
    <w:proofErr w:type="spellStart"/>
    <w:r w:rsidRPr="009058B0">
      <w:rPr>
        <w:rFonts w:ascii="Cambria" w:eastAsia="Cambria" w:hAnsi="Cambria" w:cs="Cambria"/>
        <w:i/>
        <w:iCs/>
        <w:color w:val="000000"/>
        <w:sz w:val="20"/>
        <w:szCs w:val="20"/>
      </w:rPr>
      <w:t>Irwansyah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7129" w14:textId="6863EB0A" w:rsidR="0039525E" w:rsidRDefault="009058B0" w:rsidP="00C82BF1">
    <w:pPr>
      <w:pBdr>
        <w:top w:val="nil"/>
        <w:left w:val="nil"/>
        <w:bottom w:val="nil"/>
        <w:right w:val="nil"/>
        <w:between w:val="nil"/>
      </w:pBdr>
      <w:tabs>
        <w:tab w:val="center" w:pos="4680"/>
        <w:tab w:val="right" w:pos="9360"/>
      </w:tabs>
      <w:spacing w:after="0" w:line="240" w:lineRule="auto"/>
      <w:jc w:val="center"/>
      <w:rPr>
        <w:rFonts w:ascii="Cambria" w:eastAsia="Cambria" w:hAnsi="Cambria" w:cs="Cambria"/>
        <w:i/>
        <w:iCs/>
        <w:color w:val="000000"/>
        <w:sz w:val="20"/>
        <w:szCs w:val="20"/>
      </w:rPr>
    </w:pPr>
    <w:r w:rsidRPr="009058B0">
      <w:rPr>
        <w:rFonts w:ascii="Cambria" w:eastAsia="Cambria" w:hAnsi="Cambria" w:cs="Cambria"/>
        <w:i/>
        <w:iCs/>
        <w:color w:val="000000"/>
        <w:sz w:val="20"/>
        <w:szCs w:val="20"/>
      </w:rPr>
      <w:t xml:space="preserve">The Role of </w:t>
    </w:r>
    <w:proofErr w:type="spellStart"/>
    <w:r w:rsidRPr="009058B0">
      <w:rPr>
        <w:rFonts w:ascii="Cambria" w:eastAsia="Cambria" w:hAnsi="Cambria" w:cs="Cambria"/>
        <w:i/>
        <w:iCs/>
        <w:color w:val="000000"/>
        <w:sz w:val="20"/>
        <w:szCs w:val="20"/>
      </w:rPr>
      <w:t>Ruangguru</w:t>
    </w:r>
    <w:proofErr w:type="spellEnd"/>
    <w:r w:rsidRPr="009058B0">
      <w:rPr>
        <w:rFonts w:ascii="Cambria" w:eastAsia="Cambria" w:hAnsi="Cambria" w:cs="Cambria"/>
        <w:i/>
        <w:iCs/>
        <w:color w:val="000000"/>
        <w:sz w:val="20"/>
        <w:szCs w:val="20"/>
      </w:rPr>
      <w:t xml:space="preserve"> Online Tutoring in Islamic Religious Education Learning for Madrasah </w:t>
    </w:r>
    <w:proofErr w:type="spellStart"/>
    <w:r w:rsidRPr="009058B0">
      <w:rPr>
        <w:rFonts w:ascii="Cambria" w:eastAsia="Cambria" w:hAnsi="Cambria" w:cs="Cambria"/>
        <w:i/>
        <w:iCs/>
        <w:color w:val="000000"/>
        <w:sz w:val="20"/>
        <w:szCs w:val="20"/>
      </w:rPr>
      <w:t>Ibtidaiyah</w:t>
    </w:r>
    <w:proofErr w:type="spellEnd"/>
    <w:r w:rsidRPr="009058B0">
      <w:rPr>
        <w:rFonts w:ascii="Cambria" w:eastAsia="Cambria" w:hAnsi="Cambria" w:cs="Cambria"/>
        <w:i/>
        <w:iCs/>
        <w:color w:val="000000"/>
        <w:sz w:val="20"/>
        <w:szCs w:val="20"/>
      </w:rPr>
      <w:t xml:space="preserve">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95E"/>
    <w:multiLevelType w:val="multilevel"/>
    <w:tmpl w:val="4F364E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8361DE1"/>
    <w:multiLevelType w:val="multilevel"/>
    <w:tmpl w:val="0BA2B1F2"/>
    <w:lvl w:ilvl="0">
      <w:start w:val="1"/>
      <w:numFmt w:val="upperLetter"/>
      <w:lvlText w:val="%1."/>
      <w:lvlJc w:val="left"/>
      <w:pPr>
        <w:ind w:left="360" w:firstLine="0"/>
      </w:pPr>
      <w:rPr>
        <w:b/>
        <w:bCs/>
      </w:rPr>
    </w:lvl>
    <w:lvl w:ilvl="1">
      <w:start w:val="1"/>
      <w:numFmt w:val="lowerLetter"/>
      <w:lvlText w:val="%2."/>
      <w:lvlJc w:val="left"/>
      <w:pPr>
        <w:ind w:left="1080" w:firstLine="0"/>
      </w:pPr>
    </w:lvl>
    <w:lvl w:ilvl="2">
      <w:start w:val="1"/>
      <w:numFmt w:val="lowerRoman"/>
      <w:lvlText w:val="%3."/>
      <w:lvlJc w:val="righ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righ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right"/>
      <w:pPr>
        <w:ind w:left="6300" w:firstLine="0"/>
      </w:pPr>
    </w:lvl>
  </w:abstractNum>
  <w:abstractNum w:abstractNumId="2" w15:restartNumberingAfterBreak="0">
    <w:nsid w:val="34BE2E33"/>
    <w:multiLevelType w:val="hybridMultilevel"/>
    <w:tmpl w:val="2B4EDC7A"/>
    <w:lvl w:ilvl="0" w:tplc="16A405F6">
      <w:start w:val="4"/>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976185409">
    <w:abstractNumId w:val="1"/>
  </w:num>
  <w:num w:numId="2" w16cid:durableId="2097631092">
    <w:abstractNumId w:val="0"/>
  </w:num>
  <w:num w:numId="3" w16cid:durableId="62273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25E"/>
    <w:rsid w:val="00003721"/>
    <w:rsid w:val="00013CF4"/>
    <w:rsid w:val="000A1654"/>
    <w:rsid w:val="000A1791"/>
    <w:rsid w:val="000B18AA"/>
    <w:rsid w:val="000C23E3"/>
    <w:rsid w:val="000C3EE4"/>
    <w:rsid w:val="000D3530"/>
    <w:rsid w:val="001244D5"/>
    <w:rsid w:val="00131870"/>
    <w:rsid w:val="00131FBD"/>
    <w:rsid w:val="0013440B"/>
    <w:rsid w:val="00142430"/>
    <w:rsid w:val="00177786"/>
    <w:rsid w:val="00186919"/>
    <w:rsid w:val="00192D4C"/>
    <w:rsid w:val="00196781"/>
    <w:rsid w:val="001C1080"/>
    <w:rsid w:val="001C3722"/>
    <w:rsid w:val="001F2EEA"/>
    <w:rsid w:val="001F62C6"/>
    <w:rsid w:val="00200582"/>
    <w:rsid w:val="00200F1E"/>
    <w:rsid w:val="00202F19"/>
    <w:rsid w:val="00245E01"/>
    <w:rsid w:val="002A6BFF"/>
    <w:rsid w:val="002B79B8"/>
    <w:rsid w:val="002C4447"/>
    <w:rsid w:val="002D4ABB"/>
    <w:rsid w:val="002D60AC"/>
    <w:rsid w:val="003024DF"/>
    <w:rsid w:val="0030350B"/>
    <w:rsid w:val="003208A2"/>
    <w:rsid w:val="00320985"/>
    <w:rsid w:val="00323EAF"/>
    <w:rsid w:val="00367B8E"/>
    <w:rsid w:val="00374B27"/>
    <w:rsid w:val="00380AFD"/>
    <w:rsid w:val="0039525E"/>
    <w:rsid w:val="003A2968"/>
    <w:rsid w:val="003A7928"/>
    <w:rsid w:val="003B723A"/>
    <w:rsid w:val="00402FA9"/>
    <w:rsid w:val="0041091B"/>
    <w:rsid w:val="004153D0"/>
    <w:rsid w:val="00425875"/>
    <w:rsid w:val="0043650B"/>
    <w:rsid w:val="004465BD"/>
    <w:rsid w:val="00456504"/>
    <w:rsid w:val="00487140"/>
    <w:rsid w:val="004A512F"/>
    <w:rsid w:val="004C1EA8"/>
    <w:rsid w:val="004C4792"/>
    <w:rsid w:val="004D380B"/>
    <w:rsid w:val="004D47B5"/>
    <w:rsid w:val="004F43E1"/>
    <w:rsid w:val="00513B86"/>
    <w:rsid w:val="00576E8D"/>
    <w:rsid w:val="00592DD5"/>
    <w:rsid w:val="005A126C"/>
    <w:rsid w:val="005C052A"/>
    <w:rsid w:val="005D2EFC"/>
    <w:rsid w:val="005D44AF"/>
    <w:rsid w:val="005F459F"/>
    <w:rsid w:val="006060DD"/>
    <w:rsid w:val="0063499A"/>
    <w:rsid w:val="006401D7"/>
    <w:rsid w:val="00645C36"/>
    <w:rsid w:val="00663D6B"/>
    <w:rsid w:val="00666F2B"/>
    <w:rsid w:val="00670B46"/>
    <w:rsid w:val="00675633"/>
    <w:rsid w:val="00693403"/>
    <w:rsid w:val="006A0789"/>
    <w:rsid w:val="006E63A6"/>
    <w:rsid w:val="0071238C"/>
    <w:rsid w:val="00713B2F"/>
    <w:rsid w:val="00714AA6"/>
    <w:rsid w:val="00720763"/>
    <w:rsid w:val="007351F5"/>
    <w:rsid w:val="00743116"/>
    <w:rsid w:val="00754C98"/>
    <w:rsid w:val="00766438"/>
    <w:rsid w:val="007A7DEA"/>
    <w:rsid w:val="007C4D44"/>
    <w:rsid w:val="007C5328"/>
    <w:rsid w:val="007E347E"/>
    <w:rsid w:val="0080442C"/>
    <w:rsid w:val="0082691C"/>
    <w:rsid w:val="00871950"/>
    <w:rsid w:val="00874B1E"/>
    <w:rsid w:val="00892104"/>
    <w:rsid w:val="008A5D9B"/>
    <w:rsid w:val="008E52D1"/>
    <w:rsid w:val="008F43D7"/>
    <w:rsid w:val="008F6518"/>
    <w:rsid w:val="009058B0"/>
    <w:rsid w:val="00916FF5"/>
    <w:rsid w:val="009D435B"/>
    <w:rsid w:val="009E18EF"/>
    <w:rsid w:val="009F6676"/>
    <w:rsid w:val="00A14E33"/>
    <w:rsid w:val="00A45D30"/>
    <w:rsid w:val="00A5616E"/>
    <w:rsid w:val="00A5718B"/>
    <w:rsid w:val="00AA720F"/>
    <w:rsid w:val="00AF51FD"/>
    <w:rsid w:val="00B24878"/>
    <w:rsid w:val="00B76BC4"/>
    <w:rsid w:val="00B83776"/>
    <w:rsid w:val="00BD7A1D"/>
    <w:rsid w:val="00C034CB"/>
    <w:rsid w:val="00C148A5"/>
    <w:rsid w:val="00C247A2"/>
    <w:rsid w:val="00C55F21"/>
    <w:rsid w:val="00C82BF1"/>
    <w:rsid w:val="00C872F9"/>
    <w:rsid w:val="00C929D5"/>
    <w:rsid w:val="00CB55B9"/>
    <w:rsid w:val="00CC01A0"/>
    <w:rsid w:val="00CD1E35"/>
    <w:rsid w:val="00D000FD"/>
    <w:rsid w:val="00D0028C"/>
    <w:rsid w:val="00D02F04"/>
    <w:rsid w:val="00D13DC9"/>
    <w:rsid w:val="00D20A04"/>
    <w:rsid w:val="00D317FB"/>
    <w:rsid w:val="00D737E3"/>
    <w:rsid w:val="00D76D9F"/>
    <w:rsid w:val="00D94665"/>
    <w:rsid w:val="00DA07C8"/>
    <w:rsid w:val="00DA69CD"/>
    <w:rsid w:val="00DB0739"/>
    <w:rsid w:val="00DB471A"/>
    <w:rsid w:val="00E55CDD"/>
    <w:rsid w:val="00EB41B7"/>
    <w:rsid w:val="00EC197B"/>
    <w:rsid w:val="00ED0E01"/>
    <w:rsid w:val="00EF5239"/>
    <w:rsid w:val="00EF5B49"/>
    <w:rsid w:val="00EF6034"/>
    <w:rsid w:val="00EF63EC"/>
    <w:rsid w:val="00F11127"/>
    <w:rsid w:val="00F1573C"/>
    <w:rsid w:val="00F20180"/>
    <w:rsid w:val="00F3705E"/>
    <w:rsid w:val="00F37D79"/>
    <w:rsid w:val="00F54EA0"/>
    <w:rsid w:val="00F64588"/>
    <w:rsid w:val="00F72FB5"/>
    <w:rsid w:val="00F83C4B"/>
    <w:rsid w:val="00F917F0"/>
    <w:rsid w:val="00FA3D75"/>
    <w:rsid w:val="00FC0207"/>
    <w:rsid w:val="00FD3C1B"/>
    <w:rsid w:val="00FD5477"/>
    <w:rsid w:val="00FF0E5B"/>
    <w:rsid w:val="00FF4DE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F4ADD"/>
  <w15:docId w15:val="{D13A91EB-E241-4E5C-9842-9CC89742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240" w:lineRule="auto"/>
      <w:ind w:left="720" w:hanging="720"/>
      <w:outlineLvl w:val="0"/>
    </w:pPr>
    <w:rPr>
      <w:b/>
      <w:bCs/>
      <w:sz w:val="32"/>
      <w:szCs w:val="32"/>
    </w:rPr>
  </w:style>
  <w:style w:type="paragraph" w:styleId="Heading2">
    <w:name w:val="heading 2"/>
    <w:basedOn w:val="Normal"/>
    <w:next w:val="Normal"/>
    <w:uiPriority w:val="9"/>
    <w:semiHidden/>
    <w:unhideWhenUsed/>
    <w:qFormat/>
    <w:pPr>
      <w:keepNext/>
      <w:spacing w:before="240" w:after="60" w:line="240" w:lineRule="auto"/>
      <w:ind w:left="1440" w:hanging="720"/>
      <w:outlineLvl w:val="1"/>
    </w:pPr>
    <w:rPr>
      <w:b/>
      <w:bCs/>
      <w:i/>
      <w:iCs/>
      <w:sz w:val="28"/>
      <w:szCs w:val="28"/>
    </w:rPr>
  </w:style>
  <w:style w:type="paragraph" w:styleId="Heading3">
    <w:name w:val="heading 3"/>
    <w:basedOn w:val="Normal"/>
    <w:next w:val="Normal"/>
    <w:uiPriority w:val="9"/>
    <w:semiHidden/>
    <w:unhideWhenUsed/>
    <w:qFormat/>
    <w:pPr>
      <w:keepNext/>
      <w:spacing w:before="240" w:after="60" w:line="240" w:lineRule="auto"/>
      <w:ind w:left="2160" w:hanging="720"/>
      <w:outlineLvl w:val="2"/>
    </w:pPr>
    <w:rPr>
      <w:b/>
      <w:bCs/>
      <w:sz w:val="26"/>
      <w:szCs w:val="26"/>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b/>
      <w:bCs/>
      <w:sz w:val="28"/>
      <w:szCs w:val="28"/>
    </w:rPr>
  </w:style>
  <w:style w:type="paragraph" w:styleId="Heading5">
    <w:name w:val="heading 5"/>
    <w:basedOn w:val="Normal"/>
    <w:next w:val="Normal"/>
    <w:uiPriority w:val="9"/>
    <w:semiHidden/>
    <w:unhideWhenUsed/>
    <w:qFormat/>
    <w:pPr>
      <w:spacing w:before="240" w:after="60" w:line="240" w:lineRule="auto"/>
      <w:ind w:left="3600" w:hanging="720"/>
      <w:outlineLvl w:val="4"/>
    </w:pPr>
    <w:rPr>
      <w:b/>
      <w:bCs/>
      <w:i/>
      <w:iCs/>
      <w:sz w:val="26"/>
      <w:szCs w:val="26"/>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192D4C"/>
    <w:rPr>
      <w:color w:val="0000FF" w:themeColor="hyperlink"/>
      <w:u w:val="single"/>
    </w:rPr>
  </w:style>
  <w:style w:type="character" w:styleId="UnresolvedMention">
    <w:name w:val="Unresolved Mention"/>
    <w:basedOn w:val="DefaultParagraphFont"/>
    <w:uiPriority w:val="99"/>
    <w:semiHidden/>
    <w:unhideWhenUsed/>
    <w:rsid w:val="00192D4C"/>
    <w:rPr>
      <w:color w:val="605E5C"/>
      <w:shd w:val="clear" w:color="auto" w:fill="E1DFDD"/>
    </w:rPr>
  </w:style>
  <w:style w:type="paragraph" w:styleId="Bibliography">
    <w:name w:val="Bibliography"/>
    <w:basedOn w:val="Normal"/>
    <w:next w:val="Normal"/>
    <w:uiPriority w:val="37"/>
    <w:unhideWhenUsed/>
    <w:rsid w:val="00916FF5"/>
    <w:pPr>
      <w:spacing w:after="0" w:line="480" w:lineRule="auto"/>
      <w:ind w:left="720" w:hanging="720"/>
    </w:pPr>
  </w:style>
  <w:style w:type="character" w:styleId="CommentReference">
    <w:name w:val="annotation reference"/>
    <w:basedOn w:val="DefaultParagraphFont"/>
    <w:uiPriority w:val="99"/>
    <w:semiHidden/>
    <w:unhideWhenUsed/>
    <w:rsid w:val="004A512F"/>
    <w:rPr>
      <w:sz w:val="16"/>
      <w:szCs w:val="16"/>
    </w:rPr>
  </w:style>
  <w:style w:type="paragraph" w:styleId="CommentText">
    <w:name w:val="annotation text"/>
    <w:basedOn w:val="Normal"/>
    <w:link w:val="CommentTextChar"/>
    <w:uiPriority w:val="99"/>
    <w:semiHidden/>
    <w:unhideWhenUsed/>
    <w:rsid w:val="004A512F"/>
    <w:pPr>
      <w:spacing w:line="240" w:lineRule="auto"/>
    </w:pPr>
    <w:rPr>
      <w:sz w:val="20"/>
      <w:szCs w:val="20"/>
    </w:rPr>
  </w:style>
  <w:style w:type="character" w:customStyle="1" w:styleId="CommentTextChar">
    <w:name w:val="Comment Text Char"/>
    <w:basedOn w:val="DefaultParagraphFont"/>
    <w:link w:val="CommentText"/>
    <w:uiPriority w:val="99"/>
    <w:semiHidden/>
    <w:rsid w:val="004A512F"/>
    <w:rPr>
      <w:sz w:val="20"/>
      <w:szCs w:val="20"/>
    </w:rPr>
  </w:style>
  <w:style w:type="paragraph" w:styleId="CommentSubject">
    <w:name w:val="annotation subject"/>
    <w:basedOn w:val="CommentText"/>
    <w:next w:val="CommentText"/>
    <w:link w:val="CommentSubjectChar"/>
    <w:uiPriority w:val="99"/>
    <w:semiHidden/>
    <w:unhideWhenUsed/>
    <w:rsid w:val="004A512F"/>
    <w:rPr>
      <w:b/>
      <w:bCs/>
    </w:rPr>
  </w:style>
  <w:style w:type="character" w:customStyle="1" w:styleId="CommentSubjectChar">
    <w:name w:val="Comment Subject Char"/>
    <w:basedOn w:val="CommentTextChar"/>
    <w:link w:val="CommentSubject"/>
    <w:uiPriority w:val="99"/>
    <w:semiHidden/>
    <w:rsid w:val="004A512F"/>
    <w:rPr>
      <w:b/>
      <w:bCs/>
      <w:sz w:val="20"/>
      <w:szCs w:val="20"/>
    </w:rPr>
  </w:style>
  <w:style w:type="paragraph" w:styleId="BalloonText">
    <w:name w:val="Balloon Text"/>
    <w:basedOn w:val="Normal"/>
    <w:link w:val="BalloonTextChar"/>
    <w:uiPriority w:val="99"/>
    <w:semiHidden/>
    <w:unhideWhenUsed/>
    <w:rsid w:val="004A5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12F"/>
    <w:rPr>
      <w:rFonts w:ascii="Segoe UI" w:hAnsi="Segoe UI" w:cs="Segoe UI"/>
      <w:sz w:val="18"/>
      <w:szCs w:val="18"/>
    </w:rPr>
  </w:style>
  <w:style w:type="paragraph" w:styleId="NormalWeb">
    <w:name w:val="Normal (Web)"/>
    <w:basedOn w:val="Normal"/>
    <w:uiPriority w:val="99"/>
    <w:unhideWhenUsed/>
    <w:rsid w:val="00714A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2D4ABB"/>
    <w:pPr>
      <w:ind w:left="720"/>
      <w:contextualSpacing/>
    </w:pPr>
  </w:style>
  <w:style w:type="paragraph" w:styleId="Caption">
    <w:name w:val="caption"/>
    <w:basedOn w:val="Normal"/>
    <w:next w:val="Normal"/>
    <w:uiPriority w:val="35"/>
    <w:unhideWhenUsed/>
    <w:qFormat/>
    <w:rsid w:val="008A5D9B"/>
    <w:pPr>
      <w:spacing w:after="200" w:line="240" w:lineRule="auto"/>
    </w:pPr>
    <w:rPr>
      <w:i/>
      <w:iCs/>
      <w:color w:val="1F497D" w:themeColor="text2"/>
      <w:sz w:val="18"/>
      <w:szCs w:val="18"/>
    </w:rPr>
  </w:style>
  <w:style w:type="character" w:styleId="Emphasis">
    <w:name w:val="Emphasis"/>
    <w:basedOn w:val="DefaultParagraphFont"/>
    <w:uiPriority w:val="20"/>
    <w:qFormat/>
    <w:rsid w:val="00CC01A0"/>
    <w:rPr>
      <w:i/>
      <w:iCs/>
    </w:rPr>
  </w:style>
  <w:style w:type="paragraph" w:styleId="Header">
    <w:name w:val="header"/>
    <w:basedOn w:val="Normal"/>
    <w:link w:val="HeaderChar"/>
    <w:uiPriority w:val="99"/>
    <w:unhideWhenUsed/>
    <w:rsid w:val="00425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875"/>
  </w:style>
  <w:style w:type="character" w:styleId="Strong">
    <w:name w:val="Strong"/>
    <w:basedOn w:val="DefaultParagraphFont"/>
    <w:uiPriority w:val="22"/>
    <w:qFormat/>
    <w:rsid w:val="00754C98"/>
    <w:rPr>
      <w:b/>
      <w:bCs/>
    </w:rPr>
  </w:style>
  <w:style w:type="paragraph" w:styleId="NoSpacing">
    <w:name w:val="No Spacing"/>
    <w:uiPriority w:val="1"/>
    <w:qFormat/>
    <w:rsid w:val="00C929D5"/>
    <w:pPr>
      <w:spacing w:after="0" w:line="240" w:lineRule="auto"/>
    </w:pPr>
    <w:rPr>
      <w:rFonts w:ascii="Cambria" w:eastAsia="Cambria" w:hAnsi="Cambria" w:cs="Cambria"/>
      <w:sz w:val="24"/>
      <w:szCs w:val="24"/>
      <w:lang w:val="en-US" w:eastAsia="en-US"/>
    </w:rPr>
  </w:style>
  <w:style w:type="table" w:styleId="TableGrid">
    <w:name w:val="Table Grid"/>
    <w:basedOn w:val="TableNormal"/>
    <w:uiPriority w:val="39"/>
    <w:rsid w:val="00592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3172">
      <w:bodyDiv w:val="1"/>
      <w:marLeft w:val="0"/>
      <w:marRight w:val="0"/>
      <w:marTop w:val="0"/>
      <w:marBottom w:val="0"/>
      <w:divBdr>
        <w:top w:val="none" w:sz="0" w:space="0" w:color="auto"/>
        <w:left w:val="none" w:sz="0" w:space="0" w:color="auto"/>
        <w:bottom w:val="none" w:sz="0" w:space="0" w:color="auto"/>
        <w:right w:val="none" w:sz="0" w:space="0" w:color="auto"/>
      </w:divBdr>
    </w:div>
    <w:div w:id="173879804">
      <w:bodyDiv w:val="1"/>
      <w:marLeft w:val="0"/>
      <w:marRight w:val="0"/>
      <w:marTop w:val="0"/>
      <w:marBottom w:val="0"/>
      <w:divBdr>
        <w:top w:val="none" w:sz="0" w:space="0" w:color="auto"/>
        <w:left w:val="none" w:sz="0" w:space="0" w:color="auto"/>
        <w:bottom w:val="none" w:sz="0" w:space="0" w:color="auto"/>
        <w:right w:val="none" w:sz="0" w:space="0" w:color="auto"/>
      </w:divBdr>
    </w:div>
    <w:div w:id="184946526">
      <w:bodyDiv w:val="1"/>
      <w:marLeft w:val="0"/>
      <w:marRight w:val="0"/>
      <w:marTop w:val="0"/>
      <w:marBottom w:val="0"/>
      <w:divBdr>
        <w:top w:val="none" w:sz="0" w:space="0" w:color="auto"/>
        <w:left w:val="none" w:sz="0" w:space="0" w:color="auto"/>
        <w:bottom w:val="none" w:sz="0" w:space="0" w:color="auto"/>
        <w:right w:val="none" w:sz="0" w:space="0" w:color="auto"/>
      </w:divBdr>
    </w:div>
    <w:div w:id="206844210">
      <w:bodyDiv w:val="1"/>
      <w:marLeft w:val="0"/>
      <w:marRight w:val="0"/>
      <w:marTop w:val="0"/>
      <w:marBottom w:val="0"/>
      <w:divBdr>
        <w:top w:val="none" w:sz="0" w:space="0" w:color="auto"/>
        <w:left w:val="none" w:sz="0" w:space="0" w:color="auto"/>
        <w:bottom w:val="none" w:sz="0" w:space="0" w:color="auto"/>
        <w:right w:val="none" w:sz="0" w:space="0" w:color="auto"/>
      </w:divBdr>
    </w:div>
    <w:div w:id="248079821">
      <w:bodyDiv w:val="1"/>
      <w:marLeft w:val="0"/>
      <w:marRight w:val="0"/>
      <w:marTop w:val="0"/>
      <w:marBottom w:val="0"/>
      <w:divBdr>
        <w:top w:val="none" w:sz="0" w:space="0" w:color="auto"/>
        <w:left w:val="none" w:sz="0" w:space="0" w:color="auto"/>
        <w:bottom w:val="none" w:sz="0" w:space="0" w:color="auto"/>
        <w:right w:val="none" w:sz="0" w:space="0" w:color="auto"/>
      </w:divBdr>
    </w:div>
    <w:div w:id="279186267">
      <w:bodyDiv w:val="1"/>
      <w:marLeft w:val="0"/>
      <w:marRight w:val="0"/>
      <w:marTop w:val="0"/>
      <w:marBottom w:val="0"/>
      <w:divBdr>
        <w:top w:val="none" w:sz="0" w:space="0" w:color="auto"/>
        <w:left w:val="none" w:sz="0" w:space="0" w:color="auto"/>
        <w:bottom w:val="none" w:sz="0" w:space="0" w:color="auto"/>
        <w:right w:val="none" w:sz="0" w:space="0" w:color="auto"/>
      </w:divBdr>
    </w:div>
    <w:div w:id="376007614">
      <w:bodyDiv w:val="1"/>
      <w:marLeft w:val="0"/>
      <w:marRight w:val="0"/>
      <w:marTop w:val="0"/>
      <w:marBottom w:val="0"/>
      <w:divBdr>
        <w:top w:val="none" w:sz="0" w:space="0" w:color="auto"/>
        <w:left w:val="none" w:sz="0" w:space="0" w:color="auto"/>
        <w:bottom w:val="none" w:sz="0" w:space="0" w:color="auto"/>
        <w:right w:val="none" w:sz="0" w:space="0" w:color="auto"/>
      </w:divBdr>
    </w:div>
    <w:div w:id="852650689">
      <w:bodyDiv w:val="1"/>
      <w:marLeft w:val="0"/>
      <w:marRight w:val="0"/>
      <w:marTop w:val="0"/>
      <w:marBottom w:val="0"/>
      <w:divBdr>
        <w:top w:val="none" w:sz="0" w:space="0" w:color="auto"/>
        <w:left w:val="none" w:sz="0" w:space="0" w:color="auto"/>
        <w:bottom w:val="none" w:sz="0" w:space="0" w:color="auto"/>
        <w:right w:val="none" w:sz="0" w:space="0" w:color="auto"/>
      </w:divBdr>
    </w:div>
    <w:div w:id="959800624">
      <w:bodyDiv w:val="1"/>
      <w:marLeft w:val="0"/>
      <w:marRight w:val="0"/>
      <w:marTop w:val="0"/>
      <w:marBottom w:val="0"/>
      <w:divBdr>
        <w:top w:val="none" w:sz="0" w:space="0" w:color="auto"/>
        <w:left w:val="none" w:sz="0" w:space="0" w:color="auto"/>
        <w:bottom w:val="none" w:sz="0" w:space="0" w:color="auto"/>
        <w:right w:val="none" w:sz="0" w:space="0" w:color="auto"/>
      </w:divBdr>
    </w:div>
    <w:div w:id="1165045915">
      <w:bodyDiv w:val="1"/>
      <w:marLeft w:val="0"/>
      <w:marRight w:val="0"/>
      <w:marTop w:val="0"/>
      <w:marBottom w:val="0"/>
      <w:divBdr>
        <w:top w:val="none" w:sz="0" w:space="0" w:color="auto"/>
        <w:left w:val="none" w:sz="0" w:space="0" w:color="auto"/>
        <w:bottom w:val="none" w:sz="0" w:space="0" w:color="auto"/>
        <w:right w:val="none" w:sz="0" w:space="0" w:color="auto"/>
      </w:divBdr>
    </w:div>
    <w:div w:id="1412315418">
      <w:bodyDiv w:val="1"/>
      <w:marLeft w:val="0"/>
      <w:marRight w:val="0"/>
      <w:marTop w:val="0"/>
      <w:marBottom w:val="0"/>
      <w:divBdr>
        <w:top w:val="none" w:sz="0" w:space="0" w:color="auto"/>
        <w:left w:val="none" w:sz="0" w:space="0" w:color="auto"/>
        <w:bottom w:val="none" w:sz="0" w:space="0" w:color="auto"/>
        <w:right w:val="none" w:sz="0" w:space="0" w:color="auto"/>
      </w:divBdr>
    </w:div>
    <w:div w:id="2055536986">
      <w:bodyDiv w:val="1"/>
      <w:marLeft w:val="0"/>
      <w:marRight w:val="0"/>
      <w:marTop w:val="0"/>
      <w:marBottom w:val="0"/>
      <w:divBdr>
        <w:top w:val="none" w:sz="0" w:space="0" w:color="auto"/>
        <w:left w:val="none" w:sz="0" w:space="0" w:color="auto"/>
        <w:bottom w:val="none" w:sz="0" w:space="0" w:color="auto"/>
        <w:right w:val="none" w:sz="0" w:space="0" w:color="auto"/>
      </w:divBdr>
    </w:div>
    <w:div w:id="2063557821">
      <w:bodyDiv w:val="1"/>
      <w:marLeft w:val="0"/>
      <w:marRight w:val="0"/>
      <w:marTop w:val="0"/>
      <w:marBottom w:val="0"/>
      <w:divBdr>
        <w:top w:val="none" w:sz="0" w:space="0" w:color="auto"/>
        <w:left w:val="none" w:sz="0" w:space="0" w:color="auto"/>
        <w:bottom w:val="none" w:sz="0" w:space="0" w:color="auto"/>
        <w:right w:val="none" w:sz="0" w:space="0" w:color="auto"/>
      </w:divBdr>
    </w:div>
    <w:div w:id="2143229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4putrysalsabila22@gmail.com,%20" TargetMode="External"/><Relationship Id="rId18" Type="http://schemas.openxmlformats.org/officeDocument/2006/relationships/image" Target="media/image5.png"/><Relationship Id="rId26" Type="http://schemas.openxmlformats.org/officeDocument/2006/relationships/hyperlink" Target="https://doi.org/10.1186/s40561-023-00260-y" TargetMode="External"/><Relationship Id="rId3" Type="http://schemas.openxmlformats.org/officeDocument/2006/relationships/settings" Target="settings.xml"/><Relationship Id="rId21" Type="http://schemas.openxmlformats.org/officeDocument/2006/relationships/hyperlink" Target="https://doi.org/10.35723/ajie.v8i2.594"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3andianirah@uindatokarama.ac.id" TargetMode="External"/><Relationship Id="rId17" Type="http://schemas.openxmlformats.org/officeDocument/2006/relationships/image" Target="media/image4.png"/><Relationship Id="rId25" Type="http://schemas.openxmlformats.org/officeDocument/2006/relationships/hyperlink" Target="https://doi.org/10.1016/j.caeai.2024.100328"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evifatimatur@uinsa.ac.id,%20" TargetMode="External"/><Relationship Id="rId24" Type="http://schemas.openxmlformats.org/officeDocument/2006/relationships/hyperlink" Target="https://doi.org/10.1080/2331186x.2023.2287917"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016/j.caeai.2022.100118" TargetMode="External"/><Relationship Id="rId28" Type="http://schemas.openxmlformats.org/officeDocument/2006/relationships/hyperlink" Target="https://doi.org/10.6007/ijarped/v9-i2/7649" TargetMode="External"/><Relationship Id="rId10" Type="http://schemas.openxmlformats.org/officeDocument/2006/relationships/hyperlink" Target="mailto:1nursani.sansan234@upi.edu,%20"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21093/sajie.v9i1.13569" TargetMode="External"/><Relationship Id="rId14" Type="http://schemas.openxmlformats.org/officeDocument/2006/relationships/hyperlink" Target="https://doi.org/10.21093/sajie.v9i1.13569" TargetMode="External"/><Relationship Id="rId22" Type="http://schemas.openxmlformats.org/officeDocument/2006/relationships/hyperlink" Target="https://doi.org/10.1186/s41239-023-00436-z" TargetMode="External"/><Relationship Id="rId27" Type="http://schemas.openxmlformats.org/officeDocument/2006/relationships/hyperlink" Target="https://doi.org/10.37680/scaffolding.v5i1.3028"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hyperlink" Target="https://doi.org/10.21093/sajie.v9i1.1356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19136</Words>
  <Characters>109078</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Welldone</dc:creator>
  <cp:lastModifiedBy>Apple</cp:lastModifiedBy>
  <cp:revision>10</cp:revision>
  <cp:lastPrinted>2026-06-26T11:29:00Z</cp:lastPrinted>
  <dcterms:created xsi:type="dcterms:W3CDTF">2026-07-03T20:27:00Z</dcterms:created>
  <dcterms:modified xsi:type="dcterms:W3CDTF">2026-07-03T20:49:00Z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id="ANY8QgRo"/&gt;&lt;style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81e992a9-f02e-4f32-8d66-fc346152a663</vt:lpwstr>
  </property>
</Properties>
</file>