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3401B" w14:textId="77777777" w:rsidR="00832198" w:rsidRDefault="000F359A" w:rsidP="004F1A5E">
      <w:pPr>
        <w:spacing w:after="0" w:line="240" w:lineRule="auto"/>
        <w:jc w:val="center"/>
        <w:rPr>
          <w:rFonts w:ascii="Minion Pro" w:eastAsia="Times New Roman" w:hAnsi="Minion Pro" w:cs="Times New Roman"/>
          <w:b/>
          <w:sz w:val="26"/>
          <w:szCs w:val="26"/>
        </w:rPr>
      </w:pPr>
      <w:r>
        <w:rPr>
          <w:rFonts w:ascii="Minion Pro" w:hAnsi="Minion Pro"/>
          <w:noProof/>
        </w:rPr>
        <mc:AlternateContent>
          <mc:Choice Requires="wps">
            <w:drawing>
              <wp:anchor distT="0" distB="0" distL="114300" distR="114300" simplePos="0" relativeHeight="251659776" behindDoc="0" locked="0" layoutInCell="1" allowOverlap="1" wp14:anchorId="7CF61B7F" wp14:editId="69F2AE72">
                <wp:simplePos x="0" y="0"/>
                <wp:positionH relativeFrom="column">
                  <wp:posOffset>3440430</wp:posOffset>
                </wp:positionH>
                <wp:positionV relativeFrom="paragraph">
                  <wp:posOffset>-87326</wp:posOffset>
                </wp:positionV>
                <wp:extent cx="2743200" cy="548640"/>
                <wp:effectExtent l="0" t="0" r="0" b="381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548640"/>
                        </a:xfrm>
                        <a:prstGeom prst="rect">
                          <a:avLst/>
                        </a:prstGeom>
                        <a:noFill/>
                        <a:ln>
                          <a:noFill/>
                        </a:ln>
                        <a:scene3d>
                          <a:camera prst="orthographicFront"/>
                          <a:lightRig rig="threePt" dir="t"/>
                        </a:scene3d>
                        <a:sp3d>
                          <a:bevelT prst="angle"/>
                        </a:sp3d>
                      </wps:spPr>
                      <wps:txbx>
                        <w:txbxContent>
                          <w:p w14:paraId="72B1DFE7" w14:textId="1A86562B" w:rsidR="001018F6" w:rsidRPr="000F359A" w:rsidRDefault="00BF4A67" w:rsidP="00BF4A67">
                            <w:pPr>
                              <w:tabs>
                                <w:tab w:val="right" w:pos="8884"/>
                              </w:tabs>
                              <w:spacing w:after="0" w:line="240" w:lineRule="auto"/>
                              <w:ind w:right="390"/>
                              <w:jc w:val="right"/>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pPr>
                            <w:r>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Juni</w:t>
                            </w:r>
                            <w:r w:rsidR="00886405">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 </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202</w:t>
                            </w:r>
                            <w:r w:rsidR="00886405">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6</w:t>
                            </w:r>
                            <w:r w:rsidR="001018F6">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 xml:space="preserve"> </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Volume </w:t>
                            </w:r>
                            <w:r w:rsidR="00886405">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6</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 No</w:t>
                            </w:r>
                            <w:r w:rsidR="001018F6" w:rsidRPr="000F359A">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 xml:space="preserve">mor </w:t>
                            </w:r>
                            <w:r>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2</w:t>
                            </w:r>
                          </w:p>
                          <w:p w14:paraId="2CE7A59E" w14:textId="77777777" w:rsidR="001018F6" w:rsidRPr="00A277EE" w:rsidRDefault="001018F6" w:rsidP="000F359A">
                            <w:pPr>
                              <w:spacing w:after="0" w:line="240" w:lineRule="auto"/>
                              <w:jc w:val="right"/>
                              <w:rPr>
                                <w:rFonts w:ascii="Minion Pro" w:eastAsia="Times New Roman" w:hAnsi="Minion Pro" w:cs="Times New Roman"/>
                                <w:bCs/>
                              </w:rPr>
                            </w:pPr>
                            <w:r w:rsidRPr="00964174">
                              <w:rPr>
                                <w:rFonts w:ascii="Minion Pro" w:eastAsia="Times New Roman" w:hAnsi="Minion Pro" w:cs="Times New Roman"/>
                                <w:bCs/>
                                <w14:shadow w14:blurRad="50800" w14:dist="38100" w14:dir="2700000" w14:sx="100000" w14:sy="100000" w14:kx="0" w14:ky="0" w14:algn="tl">
                                  <w14:srgbClr w14:val="000000">
                                    <w14:alpha w14:val="60000"/>
                                  </w14:srgbClr>
                                </w14:shadow>
                              </w:rPr>
                              <w:t>E-ISSN: 2775-5258</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7CF61B7F" id="Rectangle 2" o:spid="_x0000_s1026" style="position:absolute;left:0;text-align:left;margin-left:270.9pt;margin-top:-6.9pt;width:3in;height:43.2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" filled="f" stroked="f">
                <v:textbox>
                  <w:txbxContent>
                    <w:p w14:paraId="72B1DFE7" w14:textId="1A86562B" w:rsidR="001018F6" w:rsidRPr="000F359A" w:rsidRDefault="00BF4A67" w:rsidP="00BF4A67">
                      <w:pPr>
                        <w:tabs>
                          <w:tab w:val="right" w:pos="8884"/>
                        </w:tabs>
                        <w:spacing w:after="0" w:line="240" w:lineRule="auto"/>
                        <w:ind w:right="390"/>
                        <w:jc w:val="right"/>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pPr>
                      <w:r>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Juni</w:t>
                      </w:r>
                      <w:r w:rsidR="00886405">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 </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202</w:t>
                      </w:r>
                      <w:r w:rsidR="00886405">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6</w:t>
                      </w:r>
                      <w:r w:rsidR="001018F6">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 xml:space="preserve"> </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Volume </w:t>
                      </w:r>
                      <w:r w:rsidR="00886405">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6</w:t>
                      </w:r>
                      <w:r w:rsidR="001018F6" w:rsidRPr="000F359A">
                        <w:rPr>
                          <w:rFonts w:ascii="Minion Pro" w:eastAsia="Times New Roman" w:hAnsi="Minion Pro" w:cs="Times New Roman"/>
                          <w:bCs/>
                          <w:i/>
                          <w:sz w:val="26"/>
                          <w:szCs w:val="26"/>
                          <w14:shadow w14:blurRad="50800" w14:dist="38100" w14:dir="2700000" w14:sx="100000" w14:sy="100000" w14:kx="0" w14:ky="0" w14:algn="tl">
                            <w14:srgbClr w14:val="000000">
                              <w14:alpha w14:val="60000"/>
                            </w14:srgbClr>
                          </w14:shadow>
                        </w:rPr>
                        <w:t xml:space="preserve"> No</w:t>
                      </w:r>
                      <w:r w:rsidR="001018F6" w:rsidRPr="000F359A">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 xml:space="preserve">mor </w:t>
                      </w:r>
                      <w:r>
                        <w:rPr>
                          <w:rFonts w:ascii="Minion Pro" w:eastAsia="Times New Roman" w:hAnsi="Minion Pro" w:cs="Times New Roman"/>
                          <w:bCs/>
                          <w:i/>
                          <w:sz w:val="26"/>
                          <w:szCs w:val="26"/>
                          <w:lang w:val="id-ID"/>
                          <w14:shadow w14:blurRad="50800" w14:dist="38100" w14:dir="2700000" w14:sx="100000" w14:sy="100000" w14:kx="0" w14:ky="0" w14:algn="tl">
                            <w14:srgbClr w14:val="000000">
                              <w14:alpha w14:val="60000"/>
                            </w14:srgbClr>
                          </w14:shadow>
                        </w:rPr>
                        <w:t>2</w:t>
                      </w:r>
                    </w:p>
                    <w:p w14:paraId="2CE7A59E" w14:textId="77777777" w:rsidR="001018F6" w:rsidRPr="00A277EE" w:rsidRDefault="001018F6" w:rsidP="000F359A">
                      <w:pPr>
                        <w:spacing w:after="0" w:line="240" w:lineRule="auto"/>
                        <w:jc w:val="right"/>
                        <w:rPr>
                          <w:rFonts w:ascii="Minion Pro" w:eastAsia="Times New Roman" w:hAnsi="Minion Pro" w:cs="Times New Roman"/>
                          <w:bCs/>
                        </w:rPr>
                      </w:pPr>
                      <w:r w:rsidRPr="00964174">
                        <w:rPr>
                          <w:rFonts w:ascii="Minion Pro" w:eastAsia="Times New Roman" w:hAnsi="Minion Pro" w:cs="Times New Roman"/>
                          <w:bCs/>
                          <w14:shadow w14:blurRad="50800" w14:dist="38100" w14:dir="2700000" w14:sx="100000" w14:sy="100000" w14:kx="0" w14:ky="0" w14:algn="tl">
                            <w14:srgbClr w14:val="000000">
                              <w14:alpha w14:val="60000"/>
                            </w14:srgbClr>
                          </w14:shadow>
                        </w:rPr>
                        <w:t>E-ISSN: 2775-5258</w:t>
                      </w:r>
                    </w:p>
                  </w:txbxContent>
                </v:textbox>
              </v:rect>
            </w:pict>
          </mc:Fallback>
        </mc:AlternateContent>
      </w:r>
      <w:r>
        <w:rPr>
          <w:rFonts w:ascii="Minion Pro" w:hAnsi="Minion Pro"/>
          <w:noProof/>
        </w:rPr>
        <mc:AlternateContent>
          <mc:Choice Requires="wps">
            <w:drawing>
              <wp:anchor distT="0" distB="0" distL="114300" distR="114300" simplePos="0" relativeHeight="251657728" behindDoc="0" locked="0" layoutInCell="1" allowOverlap="1" wp14:anchorId="46A86A31" wp14:editId="5C675F3B">
                <wp:simplePos x="0" y="0"/>
                <wp:positionH relativeFrom="column">
                  <wp:posOffset>419100</wp:posOffset>
                </wp:positionH>
                <wp:positionV relativeFrom="paragraph">
                  <wp:posOffset>-59994</wp:posOffset>
                </wp:positionV>
                <wp:extent cx="3021330" cy="55626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1330" cy="556260"/>
                        </a:xfrm>
                        <a:prstGeom prst="rect">
                          <a:avLst/>
                        </a:prstGeom>
                        <a:noFill/>
                        <a:ln>
                          <a:noFill/>
                        </a:ln>
                        <a:scene3d>
                          <a:camera prst="orthographicFront"/>
                          <a:lightRig rig="threePt" dir="t"/>
                        </a:scene3d>
                        <a:sp3d>
                          <a:bevelT prst="angle"/>
                        </a:sp3d>
                      </wps:spPr>
                      <wps:txbx>
                        <w:txbxContent>
                          <w:p w14:paraId="434AA286" w14:textId="77777777" w:rsidR="001018F6" w:rsidRPr="00964174" w:rsidRDefault="001018F6" w:rsidP="00964174">
                            <w:pPr>
                              <w:tabs>
                                <w:tab w:val="right" w:pos="8637"/>
                              </w:tabs>
                              <w:spacing w:after="0" w:line="240" w:lineRule="auto"/>
                              <w:rPr>
                                <w:rFonts w:ascii="Minion Pro" w:eastAsia="Times New Roman" w:hAnsi="Minion Pro" w:cs="Times New Roman"/>
                                <w:b/>
                                <w:i/>
                                <w:iCs/>
                                <w:sz w:val="28"/>
                                <w:szCs w:val="28"/>
                                <w:lang w:val="id-ID"/>
                              </w:rPr>
                            </w:pPr>
                            <w:r w:rsidRPr="00A277EE">
                              <w:rPr>
                                <w:rFonts w:ascii="Times New Roman" w:hAnsi="Times New Roman"/>
                                <w:b/>
                                <w:bCs/>
                                <w:i/>
                                <w:iCs/>
                                <w:sz w:val="28"/>
                                <w:szCs w:val="28"/>
                              </w:rPr>
                              <w:t>Borneo Journal of Primary Education</w:t>
                            </w:r>
                            <w:r>
                              <w:rPr>
                                <w:rFonts w:ascii="Times New Roman" w:hAnsi="Times New Roman"/>
                                <w:b/>
                                <w:bCs/>
                                <w:i/>
                                <w:iCs/>
                                <w:sz w:val="28"/>
                                <w:szCs w:val="28"/>
                              </w:rPr>
                              <w:tab/>
                            </w:r>
                          </w:p>
                          <w:p w14:paraId="2149CF44" w14:textId="77777777" w:rsidR="001018F6" w:rsidRPr="00886405" w:rsidRDefault="001018F6" w:rsidP="000F359A">
                            <w:pPr>
                              <w:tabs>
                                <w:tab w:val="right" w:pos="8884"/>
                              </w:tabs>
                              <w:spacing w:after="0" w:line="240" w:lineRule="auto"/>
                              <w:rPr>
                                <w:rFonts w:ascii="Minion Pro" w:eastAsia="Times New Roman" w:hAnsi="Minion Pro" w:cs="Times New Roman"/>
                                <w:bCs/>
                                <w:lang w:val="id-ID"/>
                              </w:rPr>
                            </w:pPr>
                            <w:hyperlink r:id="rId8" w:history="1">
                              <w:r w:rsidRPr="00886405">
                                <w:rPr>
                                  <w:rStyle w:val="Hyperlink"/>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https://journal.uinsi.ac.id/index.php/bjpe/index</w:t>
                              </w:r>
                            </w:hyperlink>
                            <w:r>
                              <w:rPr>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 xml:space="preserve"> </w:t>
                            </w:r>
                            <w:r w:rsidRPr="00886405">
                              <w:rPr>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ab/>
                            </w:r>
                          </w:p>
                          <w:p w14:paraId="27A11C5A" w14:textId="77777777" w:rsidR="001018F6" w:rsidRPr="00886405" w:rsidRDefault="001018F6" w:rsidP="00964174">
                            <w:pPr>
                              <w:spacing w:after="0" w:line="240" w:lineRule="auto"/>
                              <w:jc w:val="right"/>
                              <w:rPr>
                                <w:rFonts w:ascii="Minion Pro" w:eastAsia="Times New Roman" w:hAnsi="Minion Pro" w:cs="Times New Roman"/>
                                <w:bCs/>
                                <w:lang w:val="id-ID"/>
                              </w:rPr>
                            </w:pPr>
                          </w:p>
                        </w:txbxContent>
                      </wps:txbx>
                      <wps:bodyPr rot="0" vert="horz" wrap="square" lIns="91440" tIns="45720" rIns="91440" bIns="45720" anchor="ctr" anchorCtr="0" upright="1">
                        <a:noAutofit/>
                      </wps:bodyPr>
                    </wps:wsp>
                  </a:graphicData>
                </a:graphic>
              </wp:anchor>
            </w:drawing>
          </mc:Choice>
          <mc:Fallback>
            <w:pict>
              <v:rect w14:anchorId="46A86A31" id="_x0000_s1027" style="position:absolute;left:0;text-align:left;margin-left:33pt;margin-top:-4.7pt;width:237.9pt;height:43.8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" filled="f" stroked="f">
                <v:textbox>
                  <w:txbxContent>
                    <w:p w14:paraId="434AA286" w14:textId="77777777" w:rsidR="001018F6" w:rsidRPr="00964174" w:rsidRDefault="001018F6" w:rsidP="00964174">
                      <w:pPr>
                        <w:tabs>
                          <w:tab w:val="right" w:pos="8637"/>
                        </w:tabs>
                        <w:spacing w:after="0" w:line="240" w:lineRule="auto"/>
                        <w:rPr>
                          <w:rFonts w:ascii="Minion Pro" w:eastAsia="Times New Roman" w:hAnsi="Minion Pro" w:cs="Times New Roman"/>
                          <w:b/>
                          <w:i/>
                          <w:iCs/>
                          <w:sz w:val="28"/>
                          <w:szCs w:val="28"/>
                          <w:lang w:val="id-ID"/>
                        </w:rPr>
                      </w:pPr>
                      <w:r w:rsidRPr="00A277EE">
                        <w:rPr>
                          <w:rFonts w:ascii="Times New Roman" w:hAnsi="Times New Roman"/>
                          <w:b/>
                          <w:bCs/>
                          <w:i/>
                          <w:iCs/>
                          <w:sz w:val="28"/>
                          <w:szCs w:val="28"/>
                        </w:rPr>
                        <w:t>Borneo Journal of Primary Education</w:t>
                      </w:r>
                      <w:r>
                        <w:rPr>
                          <w:rFonts w:ascii="Times New Roman" w:hAnsi="Times New Roman"/>
                          <w:b/>
                          <w:bCs/>
                          <w:i/>
                          <w:iCs/>
                          <w:sz w:val="28"/>
                          <w:szCs w:val="28"/>
                        </w:rPr>
                        <w:tab/>
                      </w:r>
                    </w:p>
                    <w:p w14:paraId="2149CF44" w14:textId="77777777" w:rsidR="001018F6" w:rsidRPr="00886405" w:rsidRDefault="001018F6" w:rsidP="000F359A">
                      <w:pPr>
                        <w:tabs>
                          <w:tab w:val="right" w:pos="8884"/>
                        </w:tabs>
                        <w:spacing w:after="0" w:line="240" w:lineRule="auto"/>
                        <w:rPr>
                          <w:rFonts w:ascii="Minion Pro" w:eastAsia="Times New Roman" w:hAnsi="Minion Pro" w:cs="Times New Roman"/>
                          <w:bCs/>
                          <w:lang w:val="id-ID"/>
                        </w:rPr>
                      </w:pPr>
                      <w:hyperlink r:id="rId9" w:history="1">
                        <w:r w:rsidRPr="00886405">
                          <w:rPr>
                            <w:rStyle w:val="Hyperlink"/>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https://journal.uinsi.ac.id/index.php/bjpe/index</w:t>
                        </w:r>
                      </w:hyperlink>
                      <w:r>
                        <w:rPr>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 xml:space="preserve"> </w:t>
                      </w:r>
                      <w:r w:rsidRPr="00886405">
                        <w:rPr>
                          <w:rFonts w:ascii="Minion Pro" w:eastAsia="Times New Roman" w:hAnsi="Minion Pro" w:cs="Times New Roman"/>
                          <w:bCs/>
                          <w:i/>
                          <w:lang w:val="id-ID"/>
                          <w14:shadow w14:blurRad="50800" w14:dist="38100" w14:dir="2700000" w14:sx="100000" w14:sy="100000" w14:kx="0" w14:ky="0" w14:algn="tl">
                            <w14:srgbClr w14:val="000000">
                              <w14:alpha w14:val="60000"/>
                            </w14:srgbClr>
                          </w14:shadow>
                        </w:rPr>
                        <w:tab/>
                      </w:r>
                    </w:p>
                    <w:p w14:paraId="27A11C5A" w14:textId="77777777" w:rsidR="001018F6" w:rsidRPr="00886405" w:rsidRDefault="001018F6" w:rsidP="00964174">
                      <w:pPr>
                        <w:spacing w:after="0" w:line="240" w:lineRule="auto"/>
                        <w:jc w:val="right"/>
                        <w:rPr>
                          <w:rFonts w:ascii="Minion Pro" w:eastAsia="Times New Roman" w:hAnsi="Minion Pro" w:cs="Times New Roman"/>
                          <w:bCs/>
                          <w:lang w:val="id-ID"/>
                        </w:rPr>
                      </w:pPr>
                    </w:p>
                  </w:txbxContent>
                </v:textbox>
              </v:rect>
            </w:pict>
          </mc:Fallback>
        </mc:AlternateContent>
      </w:r>
      <w:r w:rsidR="00194BE1">
        <w:rPr>
          <w:rFonts w:ascii="Minion Pro" w:hAnsi="Minion Pro"/>
          <w:noProof/>
        </w:rPr>
        <mc:AlternateContent>
          <mc:Choice Requires="wps">
            <w:drawing>
              <wp:anchor distT="0" distB="0" distL="114300" distR="114300" simplePos="0" relativeHeight="251655680" behindDoc="0" locked="0" layoutInCell="1" allowOverlap="1" wp14:anchorId="73F39A37" wp14:editId="110EC14E">
                <wp:simplePos x="0" y="0"/>
                <wp:positionH relativeFrom="column">
                  <wp:posOffset>-527356</wp:posOffset>
                </wp:positionH>
                <wp:positionV relativeFrom="paragraph">
                  <wp:posOffset>-198171</wp:posOffset>
                </wp:positionV>
                <wp:extent cx="6773825" cy="784225"/>
                <wp:effectExtent l="0" t="0" r="27305" b="15875"/>
                <wp:wrapNone/>
                <wp:docPr id="2" name="Rectangle: Diagonal Corners Rounded 2"/>
                <wp:cNvGraphicFramePr/>
                <a:graphic xmlns:a="http://schemas.openxmlformats.org/drawingml/2006/main">
                  <a:graphicData uri="http://schemas.microsoft.com/office/word/2010/wordprocessingShape">
                    <wps:wsp>
                      <wps:cNvSpPr/>
                      <wps:spPr>
                        <a:xfrm>
                          <a:off x="0" y="0"/>
                          <a:ext cx="6773825" cy="784225"/>
                        </a:xfrm>
                        <a:prstGeom prst="round2DiagRect">
                          <a:avLst>
                            <a:gd name="adj1" fmla="val 50000"/>
                            <a:gd name="adj2" fmla="val 0"/>
                          </a:avLst>
                        </a:prstGeom>
                        <a:solidFill>
                          <a:schemeClr val="accent4">
                            <a:alpha val="21176"/>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082FF2" id="Rectangle: Diagonal Corners Rounded 2" o:spid="_x0000_s1026" style="position:absolute;margin-left:-41.5pt;margin-top:-15.6pt;width:533.35pt;height:61.75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773825,784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" path="m392113,l6773825,r,l6773825,392113v,216558,-175555,392113,-392113,392113l,784225r,l,392113c,175555,175555,,392113,xe" fillcolor="#ffc000 [3207]" strokecolor="#1f3763 [1604]" strokeweight="1pt">
                <v:fill opacity="13878f"/>
                <v:stroke joinstyle="miter"/>
                <v:path arrowok="t" o:connecttype="custom" o:connectlocs="392113,0;6773825,0;6773825,0;6773825,392113;6381712,784226;0,784225;0,784225;0,392113;392113,0" o:connectangles="0,0,0,0,0,0,0,0,0"/>
              </v:shape>
            </w:pict>
          </mc:Fallback>
        </mc:AlternateContent>
      </w:r>
      <w:r w:rsidR="00964174">
        <w:rPr>
          <w:noProof/>
        </w:rPr>
        <w:drawing>
          <wp:anchor distT="0" distB="0" distL="114300" distR="114300" simplePos="0" relativeHeight="251656704" behindDoc="0" locked="0" layoutInCell="1" allowOverlap="1" wp14:anchorId="17AE7FA4" wp14:editId="7E1A9231">
            <wp:simplePos x="0" y="0"/>
            <wp:positionH relativeFrom="column">
              <wp:posOffset>-287306</wp:posOffset>
            </wp:positionH>
            <wp:positionV relativeFrom="paragraph">
              <wp:posOffset>-173763</wp:posOffset>
            </wp:positionV>
            <wp:extent cx="708263" cy="700027"/>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816" cy="703538"/>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lk64962952"/>
      <w:bookmarkEnd w:id="0"/>
    </w:p>
    <w:p w14:paraId="3FAF31F0" w14:textId="77777777" w:rsidR="00832198" w:rsidRDefault="00832198" w:rsidP="004F1A5E">
      <w:pPr>
        <w:spacing w:after="0" w:line="240" w:lineRule="auto"/>
        <w:rPr>
          <w:rFonts w:ascii="Minion Pro" w:eastAsia="Times New Roman" w:hAnsi="Minion Pro" w:cs="Times New Roman"/>
          <w:b/>
          <w:sz w:val="26"/>
          <w:szCs w:val="26"/>
        </w:rPr>
      </w:pPr>
    </w:p>
    <w:p w14:paraId="3F1B8DC4" w14:textId="77777777" w:rsidR="00832198" w:rsidRDefault="00832198" w:rsidP="004F1A5E">
      <w:pPr>
        <w:spacing w:after="0" w:line="240" w:lineRule="auto"/>
        <w:rPr>
          <w:rFonts w:ascii="Minion Pro" w:eastAsia="Times New Roman" w:hAnsi="Minion Pro" w:cs="Times New Roman"/>
          <w:b/>
          <w:sz w:val="26"/>
          <w:szCs w:val="26"/>
        </w:rPr>
      </w:pPr>
    </w:p>
    <w:p w14:paraId="1F1A8048" w14:textId="77777777" w:rsidR="002E0A6E" w:rsidRDefault="002E0A6E" w:rsidP="004F1A5E">
      <w:pPr>
        <w:spacing w:after="0" w:line="240" w:lineRule="auto"/>
        <w:jc w:val="center"/>
        <w:rPr>
          <w:rFonts w:ascii="Minion Pro" w:hAnsi="Minion Pro" w:cstheme="majorBidi"/>
          <w:b/>
          <w:bCs/>
          <w:sz w:val="28"/>
          <w:szCs w:val="28"/>
          <w:lang w:val="id-ID"/>
        </w:rPr>
      </w:pPr>
    </w:p>
    <w:p w14:paraId="124CE738" w14:textId="6B934FE3" w:rsidR="00886405" w:rsidRDefault="00BF4A67" w:rsidP="004F1A5E">
      <w:pPr>
        <w:spacing w:after="0" w:line="240" w:lineRule="auto"/>
        <w:jc w:val="center"/>
        <w:rPr>
          <w:rFonts w:ascii="Minion Pro" w:hAnsi="Minion Pro" w:cstheme="majorBidi"/>
          <w:b/>
          <w:bCs/>
          <w:sz w:val="28"/>
          <w:szCs w:val="28"/>
          <w:lang w:val="id-ID"/>
        </w:rPr>
      </w:pPr>
      <w:r>
        <w:rPr>
          <w:rFonts w:ascii="Minion Pro" w:hAnsi="Minion Pro" w:cstheme="majorBidi"/>
          <w:b/>
          <w:bCs/>
          <w:sz w:val="28"/>
          <w:szCs w:val="28"/>
          <w:lang w:val="id-ID"/>
        </w:rPr>
        <w:t>Strategi Guru Pgmi Dalam Mengatasi</w:t>
      </w:r>
    </w:p>
    <w:p w14:paraId="56B80918" w14:textId="2F2BE252" w:rsidR="00426D79" w:rsidRPr="00426D79" w:rsidRDefault="00BF4A67" w:rsidP="004F1A5E">
      <w:pPr>
        <w:spacing w:after="0" w:line="240" w:lineRule="auto"/>
        <w:jc w:val="center"/>
        <w:rPr>
          <w:rFonts w:ascii="Minion Pro" w:hAnsi="Minion Pro" w:cstheme="majorBidi"/>
          <w:b/>
          <w:bCs/>
          <w:sz w:val="28"/>
          <w:szCs w:val="28"/>
          <w:lang w:val="id-ID"/>
        </w:rPr>
      </w:pPr>
      <w:r>
        <w:rPr>
          <w:rFonts w:ascii="Minion Pro" w:hAnsi="Minion Pro" w:cstheme="majorBidi"/>
          <w:b/>
          <w:bCs/>
          <w:sz w:val="28"/>
          <w:szCs w:val="28"/>
          <w:lang w:val="id-ID"/>
        </w:rPr>
        <w:t xml:space="preserve"> Miskonsepsi Pembelajaran Pai Di Madrasah Ibtidaiyah: Tinjauan Pustaka Integratif</w:t>
      </w:r>
    </w:p>
    <w:p w14:paraId="6D41CDBC" w14:textId="77777777" w:rsidR="00AF176B" w:rsidRPr="00832198" w:rsidRDefault="00AF176B" w:rsidP="004F1A5E">
      <w:pPr>
        <w:spacing w:after="0" w:line="240" w:lineRule="auto"/>
        <w:jc w:val="center"/>
        <w:rPr>
          <w:rFonts w:ascii="Minion Pro" w:hAnsi="Minion Pro" w:cstheme="majorBidi"/>
          <w:b/>
          <w:bCs/>
          <w:sz w:val="28"/>
          <w:szCs w:val="28"/>
          <w:lang w:val="en-ID"/>
        </w:rPr>
      </w:pPr>
    </w:p>
    <w:p w14:paraId="107E9458" w14:textId="77777777" w:rsidR="00AF176B" w:rsidRPr="00AF176B" w:rsidRDefault="00AF176B" w:rsidP="004F1A5E">
      <w:pPr>
        <w:spacing w:after="0" w:line="240" w:lineRule="auto"/>
        <w:jc w:val="center"/>
        <w:rPr>
          <w:rFonts w:ascii="Minion Pro" w:hAnsi="Minion Pro" w:cstheme="majorBidi"/>
          <w:b/>
          <w:bCs/>
          <w:lang w:val="en-ID"/>
        </w:rPr>
      </w:pPr>
      <w:r w:rsidRPr="00202205">
        <w:rPr>
          <w:rFonts w:ascii="Minion Pro" w:hAnsi="Minion Pro" w:cstheme="majorBidi"/>
          <w:b/>
          <w:bCs/>
          <w:vertAlign w:val="superscript"/>
          <w:lang w:val="en-ID"/>
        </w:rPr>
        <w:t>1</w:t>
      </w:r>
      <w:r w:rsidR="00426D79">
        <w:rPr>
          <w:rFonts w:ascii="Minion Pro" w:hAnsi="Minion Pro" w:cstheme="majorBidi"/>
          <w:b/>
          <w:bCs/>
          <w:lang w:val="en-ID"/>
        </w:rPr>
        <w:t>Ilyas Rozak Hanafi</w:t>
      </w:r>
      <w:r w:rsidRPr="00AF176B">
        <w:rPr>
          <w:rFonts w:ascii="Minion Pro" w:hAnsi="Minion Pro" w:cstheme="majorBidi"/>
          <w:b/>
          <w:bCs/>
          <w:lang w:val="en-ID"/>
        </w:rPr>
        <w:t xml:space="preserve">, </w:t>
      </w:r>
      <w:r w:rsidRPr="00202205">
        <w:rPr>
          <w:rFonts w:ascii="Minion Pro" w:hAnsi="Minion Pro" w:cstheme="majorBidi"/>
          <w:b/>
          <w:bCs/>
          <w:vertAlign w:val="superscript"/>
          <w:lang w:val="en-ID"/>
        </w:rPr>
        <w:t>2</w:t>
      </w:r>
      <w:r w:rsidR="00426D79">
        <w:rPr>
          <w:rFonts w:ascii="Minion Pro" w:hAnsi="Minion Pro" w:cstheme="majorBidi"/>
          <w:b/>
          <w:bCs/>
          <w:lang w:val="en-ID"/>
        </w:rPr>
        <w:t>Hasbullah</w:t>
      </w:r>
    </w:p>
    <w:p w14:paraId="630DAEEF" w14:textId="77777777" w:rsidR="00AF176B" w:rsidRPr="00AF176B" w:rsidRDefault="00AF176B" w:rsidP="004F1A5E">
      <w:pPr>
        <w:spacing w:after="0" w:line="240" w:lineRule="auto"/>
        <w:jc w:val="center"/>
        <w:rPr>
          <w:rFonts w:ascii="Minion Pro" w:hAnsi="Minion Pro" w:cstheme="majorBidi"/>
          <w:b/>
          <w:bCs/>
          <w:lang w:val="en-ID"/>
        </w:rPr>
      </w:pPr>
      <w:r w:rsidRPr="00202205">
        <w:rPr>
          <w:rFonts w:ascii="Minion Pro" w:hAnsi="Minion Pro" w:cstheme="majorBidi"/>
          <w:b/>
          <w:bCs/>
          <w:vertAlign w:val="superscript"/>
          <w:lang w:val="en-ID"/>
        </w:rPr>
        <w:t>1</w:t>
      </w:r>
      <w:r w:rsidR="00426D79">
        <w:rPr>
          <w:rFonts w:ascii="Minion Pro" w:hAnsi="Minion Pro" w:cstheme="majorBidi"/>
          <w:b/>
          <w:bCs/>
          <w:lang w:val="en-ID"/>
        </w:rPr>
        <w:t>STAI Ma`arif Kalirejo Lampung Tengah</w:t>
      </w:r>
      <w:r w:rsidRPr="00AF176B">
        <w:rPr>
          <w:rFonts w:ascii="Minion Pro" w:hAnsi="Minion Pro" w:cstheme="majorBidi"/>
          <w:b/>
          <w:bCs/>
          <w:lang w:val="en-ID"/>
        </w:rPr>
        <w:t xml:space="preserve">, </w:t>
      </w:r>
      <w:r w:rsidRPr="00202205">
        <w:rPr>
          <w:rFonts w:ascii="Minion Pro" w:hAnsi="Minion Pro" w:cstheme="majorBidi"/>
          <w:b/>
          <w:bCs/>
          <w:vertAlign w:val="superscript"/>
          <w:lang w:val="en-ID"/>
        </w:rPr>
        <w:t>2</w:t>
      </w:r>
      <w:r w:rsidR="00426D79">
        <w:rPr>
          <w:rFonts w:ascii="Minion Pro" w:hAnsi="Minion Pro" w:cstheme="majorBidi"/>
          <w:b/>
          <w:bCs/>
          <w:lang w:val="en-ID"/>
        </w:rPr>
        <w:t>Universitas Muhammadiyah Pringsewu Lampung</w:t>
      </w:r>
    </w:p>
    <w:p w14:paraId="1EFD0528" w14:textId="310D0F9B" w:rsidR="00832198" w:rsidRDefault="00AF176B" w:rsidP="004F1A5E">
      <w:pPr>
        <w:spacing w:after="0" w:line="240" w:lineRule="auto"/>
        <w:jc w:val="center"/>
        <w:rPr>
          <w:rStyle w:val="Hyperlink"/>
          <w:rFonts w:ascii="Minion Pro" w:hAnsi="Minion Pro" w:cstheme="majorBidi"/>
          <w:b/>
          <w:bCs/>
          <w:lang w:val="en-ID"/>
        </w:rPr>
      </w:pPr>
      <w:r w:rsidRPr="00AF176B">
        <w:rPr>
          <w:rFonts w:ascii="Minion Pro" w:hAnsi="Minion Pro" w:cstheme="majorBidi"/>
          <w:b/>
          <w:bCs/>
          <w:lang w:val="en-ID"/>
        </w:rPr>
        <w:t>E-mail</w:t>
      </w:r>
      <w:r>
        <w:rPr>
          <w:rFonts w:ascii="Minion Pro" w:hAnsi="Minion Pro" w:cstheme="majorBidi"/>
          <w:b/>
          <w:bCs/>
          <w:lang w:val="id-ID"/>
        </w:rPr>
        <w:t>:</w:t>
      </w:r>
      <w:r w:rsidRPr="00AF176B">
        <w:rPr>
          <w:rFonts w:ascii="Minion Pro" w:hAnsi="Minion Pro" w:cstheme="majorBidi"/>
          <w:b/>
          <w:bCs/>
          <w:lang w:val="en-ID"/>
        </w:rPr>
        <w:t xml:space="preserve"> </w:t>
      </w:r>
      <w:hyperlink r:id="rId11" w:history="1">
        <w:r w:rsidR="00426D79" w:rsidRPr="00A5510B">
          <w:rPr>
            <w:rStyle w:val="Hyperlink"/>
            <w:rFonts w:ascii="Minion Pro" w:hAnsi="Minion Pro" w:cstheme="majorBidi"/>
            <w:b/>
            <w:bCs/>
            <w:lang w:val="en-ID"/>
          </w:rPr>
          <w:t>ilyasrozakhanafi@gmail.com</w:t>
        </w:r>
      </w:hyperlink>
      <w:r w:rsidR="00202205">
        <w:rPr>
          <w:rFonts w:ascii="Minion Pro" w:hAnsi="Minion Pro" w:cstheme="majorBidi"/>
          <w:b/>
          <w:bCs/>
          <w:lang w:val="en-ID"/>
        </w:rPr>
        <w:t xml:space="preserve">, </w:t>
      </w:r>
      <w:hyperlink r:id="rId12" w:history="1">
        <w:r w:rsidR="00BF4A67" w:rsidRPr="003E2839">
          <w:rPr>
            <w:rStyle w:val="Hyperlink"/>
            <w:rFonts w:ascii="Minion Pro" w:hAnsi="Minion Pro" w:cstheme="majorBidi"/>
            <w:b/>
            <w:bCs/>
            <w:lang w:val="en-ID"/>
          </w:rPr>
          <w:t>hasbullah@umpri.ac.id</w:t>
        </w:r>
      </w:hyperlink>
    </w:p>
    <w:p w14:paraId="187E170B" w14:textId="77777777" w:rsidR="00BF4A67" w:rsidRPr="0093379B" w:rsidRDefault="00BF4A67" w:rsidP="004F1A5E">
      <w:pPr>
        <w:spacing w:after="0" w:line="240" w:lineRule="auto"/>
        <w:jc w:val="center"/>
        <w:rPr>
          <w:rFonts w:ascii="Minion Pro" w:eastAsia="Times New Roman" w:hAnsi="Minion Pro" w:cs="Times New Roman"/>
          <w:i/>
        </w:rPr>
      </w:pPr>
    </w:p>
    <w:p w14:paraId="6BBB8C72" w14:textId="77777777" w:rsidR="00832198" w:rsidRDefault="00832198" w:rsidP="004F1A5E">
      <w:pPr>
        <w:spacing w:after="0" w:line="240" w:lineRule="auto"/>
        <w:rPr>
          <w:rFonts w:ascii="Minion Pro" w:eastAsia="Times New Roman" w:hAnsi="Minion Pro" w:cs="Times New Roman"/>
          <w:i/>
          <w:sz w:val="24"/>
          <w:szCs w:val="24"/>
        </w:rPr>
      </w:pPr>
    </w:p>
    <w:p w14:paraId="6AF6556A" w14:textId="018396C4" w:rsidR="00BF4A67" w:rsidRPr="0007439E" w:rsidRDefault="00BF4A67" w:rsidP="00BF4A67">
      <w:pPr>
        <w:spacing w:after="0" w:line="240" w:lineRule="auto"/>
        <w:rPr>
          <w:rFonts w:ascii="Minion Pro" w:hAnsi="Minion Pro"/>
          <w:color w:val="000000"/>
          <w:sz w:val="24"/>
          <w:szCs w:val="24"/>
        </w:rPr>
      </w:pPr>
      <w:r>
        <w:rPr>
          <w:rFonts w:ascii="Minion Pro" w:eastAsia="Times New Roman" w:hAnsi="Minion Pro" w:cs="Times New Roman"/>
          <w:i/>
          <w:noProof/>
          <w:sz w:val="24"/>
          <w:szCs w:val="24"/>
        </w:rPr>
        <mc:AlternateContent>
          <mc:Choice Requires="wps">
            <w:drawing>
              <wp:anchor distT="0" distB="0" distL="114300" distR="114300" simplePos="0" relativeHeight="251660288" behindDoc="0" locked="0" layoutInCell="1" allowOverlap="1" wp14:anchorId="0737BBB2" wp14:editId="04BD36F9">
                <wp:simplePos x="0" y="0"/>
                <wp:positionH relativeFrom="column">
                  <wp:posOffset>-176861</wp:posOffset>
                </wp:positionH>
                <wp:positionV relativeFrom="paragraph">
                  <wp:posOffset>254856</wp:posOffset>
                </wp:positionV>
                <wp:extent cx="6106243" cy="0"/>
                <wp:effectExtent l="38100" t="38100" r="66040" b="57150"/>
                <wp:wrapNone/>
                <wp:docPr id="2047970927" name="Straight Connector 6"/>
                <wp:cNvGraphicFramePr/>
                <a:graphic xmlns:a="http://schemas.openxmlformats.org/drawingml/2006/main">
                  <a:graphicData uri="http://schemas.microsoft.com/office/word/2010/wordprocessingShape">
                    <wps:wsp>
                      <wps:cNvCnPr/>
                      <wps:spPr>
                        <a:xfrm>
                          <a:off x="0" y="0"/>
                          <a:ext cx="6106243" cy="0"/>
                        </a:xfrm>
                        <a:prstGeom prst="line">
                          <a:avLst/>
                        </a:prstGeom>
                        <a:ln w="19050">
                          <a:headEnd type="diamond" w="med" len="med"/>
                          <a:tailEnd type="diamond" w="med" len="med"/>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25D65743" id="Straight Connector 6"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5pt,20.05pt" to="466.8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" strokecolor="#ed7d31 [3205]" strokeweight="1.5pt">
                <v:stroke startarrow="diamond" endarrow="diamond" joinstyle="miter"/>
              </v:line>
            </w:pict>
          </mc:Fallback>
        </mc:AlternateContent>
      </w:r>
      <w:r w:rsidRPr="000F359A">
        <w:rPr>
          <w:rFonts w:ascii="Minion Pro" w:hAnsi="Minion Pro"/>
          <w:bCs/>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Corresponding Author e-mail: </w:t>
      </w:r>
      <w:r w:rsidRPr="003F25FA">
        <w:rPr>
          <w:rFonts w:ascii="Minion Pro" w:hAnsi="Minion Pro"/>
          <w:lang w:val="id-ID"/>
        </w:rPr>
        <w:t xml:space="preserve"> </w:t>
      </w:r>
      <w:hyperlink r:id="rId13" w:history="1">
        <w:r w:rsidRPr="00B45239">
          <w:rPr>
            <w:rStyle w:val="Hyperlink"/>
            <w:rFonts w:ascii="Minion Pro" w:hAnsi="Minion Pro"/>
          </w:rPr>
          <w:t>yuliafitridiwa714@gmail.com</w:t>
        </w:r>
      </w:hyperlink>
    </w:p>
    <w:p w14:paraId="1507E51B" w14:textId="5F527C16" w:rsidR="000F359A" w:rsidRDefault="000F359A" w:rsidP="004F1A5E">
      <w:pPr>
        <w:spacing w:after="0" w:line="240" w:lineRule="auto"/>
        <w:rPr>
          <w:rFonts w:ascii="Minion Pro" w:eastAsia="Times New Roman" w:hAnsi="Minion Pro" w:cs="Times New Roman"/>
          <w:i/>
          <w:sz w:val="24"/>
          <w:szCs w:val="24"/>
        </w:rPr>
      </w:pPr>
    </w:p>
    <w:p w14:paraId="6AED01AA" w14:textId="77777777" w:rsidR="00426D79" w:rsidRPr="000C343C" w:rsidRDefault="00426D79" w:rsidP="004F1A5E">
      <w:pPr>
        <w:spacing w:after="0" w:line="240" w:lineRule="auto"/>
        <w:rPr>
          <w:rFonts w:ascii="Minion Pro" w:eastAsia="Times New Roman" w:hAnsi="Minion Pro" w:cs="Times New Roman"/>
          <w:i/>
          <w:sz w:val="24"/>
          <w:szCs w:val="24"/>
        </w:rPr>
      </w:pPr>
    </w:p>
    <w:p w14:paraId="2165D431" w14:textId="77777777" w:rsidR="00832198" w:rsidRDefault="00832198" w:rsidP="004F1A5E">
      <w:pPr>
        <w:spacing w:after="0" w:line="240" w:lineRule="auto"/>
        <w:jc w:val="center"/>
        <w:rPr>
          <w:rFonts w:ascii="Minion Pro" w:hAnsi="Minion Pro" w:cs="Times New Roman"/>
          <w:b/>
          <w:sz w:val="24"/>
          <w:szCs w:val="24"/>
        </w:rPr>
      </w:pPr>
      <w:r>
        <w:rPr>
          <w:rFonts w:ascii="Minion Pro" w:hAnsi="Minion Pro" w:cs="Times New Roman"/>
          <w:b/>
          <w:sz w:val="24"/>
          <w:szCs w:val="24"/>
        </w:rPr>
        <w:t>Abstrak</w:t>
      </w:r>
    </w:p>
    <w:p w14:paraId="5A8A11F9" w14:textId="77777777" w:rsidR="007F4FCF" w:rsidRPr="007F4FCF" w:rsidRDefault="007F4FCF" w:rsidP="004F1A5E">
      <w:pPr>
        <w:spacing w:after="0" w:line="240" w:lineRule="auto"/>
        <w:jc w:val="both"/>
        <w:rPr>
          <w:rFonts w:ascii="Minion Pro" w:hAnsi="Minion Pro" w:cs="Times New Roman"/>
          <w:color w:val="000000"/>
          <w:sz w:val="24"/>
          <w:szCs w:val="24"/>
          <w:lang w:val="id-ID"/>
        </w:rPr>
      </w:pPr>
      <w:r>
        <w:rPr>
          <w:rFonts w:ascii="Minion Pro" w:hAnsi="Minion Pro" w:cs="Times New Roman"/>
          <w:color w:val="000000"/>
          <w:sz w:val="24"/>
          <w:szCs w:val="24"/>
          <w:lang w:val="id-ID"/>
        </w:rPr>
        <w:t>Miskonsepsi dalam pembelajaran Pendidikan Agama Islam (PAI) di Madrasah Ibtidaiyah (MI) jarang dikaji secara sistematis, padahal pemahaman keagamaan yang keliru dapat bertahan hingga jenjang berikutnya dan memengaruhi praktik ibadah serta akhlak peserta didik. Kajian ini bertujuan memetakan bentuk miskonsepsi yang berpotensi muncul dalam pembelajaran PAI di MI, mengidentifikasi faktor penyebabnya, dan merumuskan strategi guru Pendidikan Guru Madrasah Ibtidaiyah (PGMI) untuk mengidentifikasi dan memperbaikinya. Penelitian ini menggunakan desain tinjauan pustaka integratif terhadap 36 sumber tentang perubahan konseptual, asesmen diagnostik dan formatif, kognisi keagamaan anak, pendidikan Islam, dan pengetahuan pedagogis konten (PCK), yang dianalisis melalui sintesis tematik. Hasil kajian menunjukkan bahwa miskonsepsi PAI dapat muncul pada bidang akidah, Al-Qur'an dan hadis, fikih, akhlak, serta Sejarah Kebudayaan Islam dengan tingkat kesulitan yang berbeda; miskonsepsi akidah cenderung bersifat kategorial sehingga paling sulit diubah. Miskonsepsi bersumber dari interaksi antara intuisi dan pengetahuan awal anak, pembelajaran yang berhenti pada hafalan, media yang kurang akurat, pengaruh keluarga dan lingkungan sosial, serta asesmen yang hanya mengukur jawaban akhir. Kajian ini merumuskan model enam tahap penanganan miskonsepsi, yaitu identifikasi, analisis penyebab, perencanaan, pembelajaran perbaikan, evaluasi, dan tindak lanjut, yang menuntut guru membedakan miskonsepsi dari perbedaan pendapat (khilafiyah) yang sah. Model ini merupakan sintesis konseptual yang perlu diuji secara empiris. Implikasinya, program studi PGMI perlu memperkuat PCK calon guru, terutama pengetahuan tentang pola kesalahpahaman peserta didik dan teknik asesmen diagnostik.</w:t>
      </w:r>
    </w:p>
    <w:p w14:paraId="7DE063CE" w14:textId="77777777" w:rsidR="00194BE1" w:rsidRPr="007F4FCF" w:rsidRDefault="00AF176B" w:rsidP="004F1A5E">
      <w:pPr>
        <w:spacing w:after="0" w:line="240" w:lineRule="auto"/>
        <w:ind w:left="1276" w:hanging="1276"/>
        <w:jc w:val="both"/>
        <w:rPr>
          <w:rFonts w:ascii="Minion Pro" w:hAnsi="Minion Pro" w:cs="Times New Roman"/>
          <w:color w:val="000000"/>
          <w:sz w:val="24"/>
          <w:szCs w:val="24"/>
        </w:rPr>
      </w:pPr>
      <w:r w:rsidRPr="00AF176B">
        <w:rPr>
          <w:rFonts w:ascii="Minion Pro" w:hAnsi="Minion Pro" w:cs="Times New Roman"/>
          <w:b/>
          <w:bCs/>
          <w:color w:val="000000"/>
          <w:sz w:val="24"/>
          <w:szCs w:val="24"/>
          <w:lang w:val="id-ID"/>
        </w:rPr>
        <w:t>Kata kunc</w:t>
      </w:r>
      <w:r w:rsidRPr="00AF176B">
        <w:rPr>
          <w:rFonts w:ascii="Minion Pro" w:hAnsi="Minion Pro" w:cs="Times New Roman"/>
          <w:color w:val="000000"/>
          <w:sz w:val="24"/>
          <w:szCs w:val="24"/>
          <w:lang w:val="id-ID"/>
        </w:rPr>
        <w:t xml:space="preserve">i: </w:t>
      </w:r>
      <w:r w:rsidRPr="00AF176B">
        <w:rPr>
          <w:rFonts w:ascii="Minion Pro" w:hAnsi="Minion Pro" w:cs="Times New Roman"/>
          <w:color w:val="000000"/>
          <w:sz w:val="24"/>
          <w:szCs w:val="24"/>
          <w:lang w:val="id-ID"/>
        </w:rPr>
        <w:tab/>
      </w:r>
      <w:r>
        <w:rPr>
          <w:rFonts w:ascii="Minion Pro" w:hAnsi="Minion Pro" w:cs="Times New Roman"/>
          <w:color w:val="000000"/>
          <w:sz w:val="24"/>
          <w:szCs w:val="24"/>
          <w:lang w:val="id-ID"/>
        </w:rPr>
        <w:t>Pendidikan Agama Islam, miskonsepsi, perubahan konseptual, guru PGMI, Madrasah Ibtidaiyah, tinjauan pustaka integratif.</w:t>
      </w:r>
    </w:p>
    <w:p w14:paraId="2461DAB0" w14:textId="77777777" w:rsidR="00AF176B" w:rsidRPr="00194BE1" w:rsidRDefault="00AF176B" w:rsidP="004F1A5E">
      <w:pPr>
        <w:spacing w:after="0" w:line="240" w:lineRule="auto"/>
        <w:ind w:left="1276" w:hanging="1276"/>
        <w:jc w:val="both"/>
        <w:rPr>
          <w:rFonts w:ascii="Minion Pro" w:hAnsi="Minion Pro"/>
          <w:color w:val="000000"/>
          <w:sz w:val="24"/>
          <w:szCs w:val="24"/>
          <w:lang w:val="id-ID"/>
        </w:rPr>
      </w:pPr>
    </w:p>
    <w:p w14:paraId="590F475C" w14:textId="77777777" w:rsidR="00AF176B" w:rsidRPr="007F4FCF" w:rsidRDefault="00AF176B" w:rsidP="004F1A5E">
      <w:pPr>
        <w:spacing w:after="0" w:line="240" w:lineRule="auto"/>
        <w:jc w:val="center"/>
        <w:rPr>
          <w:rFonts w:ascii="Minion Pro" w:hAnsi="Minion Pro" w:cs="Times New Roman"/>
          <w:b/>
          <w:i/>
          <w:sz w:val="24"/>
          <w:szCs w:val="24"/>
        </w:rPr>
      </w:pPr>
      <w:r w:rsidRPr="007F4FCF">
        <w:rPr>
          <w:rFonts w:ascii="Minion Pro" w:hAnsi="Minion Pro" w:cs="Times New Roman"/>
          <w:b/>
          <w:i/>
          <w:sz w:val="24"/>
          <w:szCs w:val="24"/>
        </w:rPr>
        <w:t>Abstract</w:t>
      </w:r>
    </w:p>
    <w:p w14:paraId="3A3181D1" w14:textId="77777777" w:rsidR="00AF176B" w:rsidRPr="007F4FCF" w:rsidRDefault="007F4FCF" w:rsidP="004F1A5E">
      <w:pPr>
        <w:spacing w:after="0" w:line="240" w:lineRule="auto"/>
        <w:jc w:val="both"/>
        <w:rPr>
          <w:rFonts w:ascii="Minion Pro" w:hAnsi="Minion Pro" w:cs="Times New Roman"/>
          <w:i/>
          <w:color w:val="000000"/>
          <w:sz w:val="24"/>
          <w:szCs w:val="24"/>
          <w:lang w:val="id-ID"/>
        </w:rPr>
      </w:pPr>
      <w:r>
        <w:rPr>
          <w:rFonts w:ascii="Minion Pro" w:hAnsi="Minion Pro" w:cs="Times New Roman"/>
          <w:color w:val="000000"/>
          <w:sz w:val="24"/>
          <w:szCs w:val="24"/>
          <w:lang w:val="id-ID"/>
        </w:rPr>
        <w:lastRenderedPageBreak/>
        <w:t>Misconceptions in Islamic Religious Education (PAI) at Madrasah Ibtidaiyah (MI) have rarely been examined systematically, although inaccurate religious understanding may persist into later schooling and affect students' worship practices and moral conduct. This study maps the misconceptions likely to arise in PAI learning at MI, identifies their causes, and formulates strategies that Madrasah Ibtidaiyah Teacher Education (PGMI) teachers can use to identify and remediate them. An integrative literature review of 36 sources on conceptual change, diagnostic and formative assessment, children's religious cognition, Islamic education, and pedagogical content knowledge (PCK) was conducted and analysed through thematic synthesis. The findings indicate that PAI misconceptions may occur in creed (aqidah), Qur'an and hadith, Islamic jurisprudence (fiqh), morals (akhlak), and Islamic cultural history, with differing degrees of difficulty; creed-related misconceptions tend to be categorical and are therefore the most resistant to change. Misconceptions arise from the interaction of children's intuitions and prior knowledge, instruction that stops at memorisation, inaccurate media, family and social influences, and assessment that measures only final answers. The study proposes a six-stage model for addressing misconceptions, namely identification, causal analysis, planning, remedial instruction, evaluation, and follow-up, which requires teachers to distinguish misconceptions from legitimate juristic differences (khilafiyah). The model is a conceptual synthesis that requires empirical testing. PGMI programmes should strengthen pre-service teachers' PCK, particularly knowledge of students' common misunderstandings and diagnostic assessment techniques.</w:t>
      </w:r>
    </w:p>
    <w:p w14:paraId="184E1043" w14:textId="77777777" w:rsidR="00AF176B" w:rsidRPr="007F4FCF" w:rsidRDefault="00AF176B" w:rsidP="004F1A5E">
      <w:pPr>
        <w:spacing w:after="0" w:line="240" w:lineRule="auto"/>
        <w:ind w:left="1276" w:hanging="1276"/>
        <w:jc w:val="both"/>
        <w:rPr>
          <w:rFonts w:ascii="Minion Pro" w:hAnsi="Minion Pro" w:cs="Times New Roman"/>
          <w:i/>
          <w:color w:val="000000"/>
          <w:sz w:val="24"/>
          <w:szCs w:val="24"/>
          <w:lang w:val="id-ID"/>
        </w:rPr>
      </w:pPr>
      <w:r w:rsidRPr="007F4FCF">
        <w:rPr>
          <w:rFonts w:ascii="Minion Pro" w:hAnsi="Minion Pro" w:cs="Times New Roman"/>
          <w:b/>
          <w:i/>
          <w:color w:val="000000"/>
          <w:sz w:val="24"/>
          <w:szCs w:val="24"/>
          <w:lang w:val="id-ID"/>
        </w:rPr>
        <w:t>Keywords:</w:t>
      </w:r>
      <w:r w:rsidRPr="007F4FCF">
        <w:rPr>
          <w:rFonts w:ascii="Minion Pro" w:hAnsi="Minion Pro" w:cs="Times New Roman"/>
          <w:i/>
          <w:color w:val="000000"/>
          <w:sz w:val="24"/>
          <w:szCs w:val="24"/>
          <w:lang w:val="id-ID"/>
        </w:rPr>
        <w:t xml:space="preserve"> </w:t>
      </w:r>
      <w:r>
        <w:rPr>
          <w:rFonts w:ascii="Minion Pro" w:hAnsi="Minion Pro" w:cs="Times New Roman"/>
          <w:color w:val="000000"/>
          <w:sz w:val="24"/>
          <w:szCs w:val="24"/>
          <w:lang w:val="id-ID"/>
        </w:rPr>
        <w:t>Islamic religious education, misconceptions, conceptual change, PGMI teachers, Madrasah Ibtidaiyah, integrative literature review.</w:t>
      </w:r>
    </w:p>
    <w:p w14:paraId="05D28BF2" w14:textId="77777777" w:rsidR="00832198" w:rsidRPr="00832198" w:rsidRDefault="00832198" w:rsidP="004F1A5E">
      <w:pPr>
        <w:spacing w:after="0" w:line="240" w:lineRule="auto"/>
        <w:ind w:left="851"/>
        <w:jc w:val="both"/>
        <w:rPr>
          <w:rFonts w:ascii="Minion Pro" w:hAnsi="Minion Pro"/>
          <w:color w:val="000000"/>
          <w:sz w:val="24"/>
          <w:szCs w:val="24"/>
        </w:rPr>
      </w:pPr>
    </w:p>
    <w:p w14:paraId="794F7FD4" w14:textId="77777777" w:rsidR="00F618F2" w:rsidRDefault="00000000">
      <w:pPr>
        <w:pStyle w:val="DaftarParagraf"/>
        <w:numPr>
          <w:ilvl w:val="0"/>
          <w:numId w:val="1"/>
        </w:numPr>
        <w:spacing w:after="0" w:line="240" w:lineRule="auto"/>
        <w:ind w:left="284" w:right="71" w:hanging="284"/>
        <w:contextualSpacing w:val="0"/>
        <w:jc w:val="both"/>
        <w:rPr>
          <w:rFonts w:ascii="Minion Pro" w:hAnsi="Minion Pro" w:cs="Times New Roman"/>
          <w:sz w:val="24"/>
          <w:szCs w:val="24"/>
        </w:rPr>
      </w:pPr>
      <w:r>
        <w:rPr>
          <w:rFonts w:ascii="Minion Pro" w:hAnsi="Minion Pro" w:cs="Times New Roman"/>
          <w:b/>
          <w:sz w:val="24"/>
          <w:szCs w:val="24"/>
        </w:rPr>
        <w:t>Pendahuluan</w:t>
      </w:r>
    </w:p>
    <w:p w14:paraId="79E7DBB4"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Pendidikan Agama Islam (PAI) di Madrasah Ibtidaiyah (MI) tidak hanya bertujuan mewariskan pengetahuan tentang ajaran Islam, tetapi juga membentuk keimanan, kebiasaan beribadah, dan akhlak peserta didik dalam kehidupan sehari-hari (Daradjat, 2011; Majid, 2014). Sebagai lembaga yang memadukan mata pelajaran keagamaan dan umum dalam satu kurikulum (Zuhdi, 2006), MI menyediakan porsi PAI yang relatif besar melalui mata pelajaran Akidah Akhlak, Al-Qur'an Hadis, Fikih, dan Sejarah Kebudayaan Islam. Karena itu, keberhasilan PAI di MI tidak cukup diukur dari kemampuan peserta didik menghafal ayat, hadis, atau definisi, tetapi juga dari ketepatan pemahaman mereka terhadap konsep yang dipelajari dan kemampuan menerapkannya (Bransford et al., 2000).</w:t>
      </w:r>
    </w:p>
    <w:p w14:paraId="4EE4739D"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Salah satu hambatan bagi ketepatan pemahaman tersebut adalah miskonsepsi, yaitu pemahaman yang diyakini benar oleh peserta didik, tetapi tidak sesuai dengan konsep yang diterima dalam suatu bidang ilmu. Kajian miskonsepsi berkembang pesat dalam pendidikan sains. Penelitian dalam tradisi ini menunjukkan bahwa peserta didik datang ke kelas dengan gagasan awal yang koheren menurut logika mereka sendiri, sehingga gagasan tersebut tidak mudah diganti hanya dengan penjelasan guru (Posner et al., 1982; Vosniadou, 1994). Smith et al. (1993) bahkan menegaskan bahwa miskonsepsi tidak cukup dipandang sebagai kesalahan yang harus dibuang, karena gagasan awal juga merupakan bahan yang dapat diolah menuju pemahaman yang lebih tepat. Kaltakci Gurel et al. (2015), yang menelaah 273 artikel tentang instrumen </w:t>
      </w:r>
      <w:r>
        <w:rPr>
          <w:rStyle w:val="fontstyle01"/>
          <w:rFonts w:ascii="Minion Pro" w:hAnsi="Minion Pro"/>
        </w:rPr>
        <w:lastRenderedPageBreak/>
        <w:t>diagnostik miskonsepsi yang terbit pada 1980–2014, memperlihatkan betapa matangnya perangkat identifikasi miskonsepsi di bidang sains. Perangkat serupa hampir tidak tersedia untuk PAI.</w:t>
      </w:r>
    </w:p>
    <w:p w14:paraId="2D34252E"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Konsep keagamaan sebenarnya juga rentan terhadap miskonsepsi. Barrett dan Keil (1996) menemukan bahwa orang dewasa yang mampu menyatakan sifat-sifat Tuhan secara benar, misalnya Maha Mengetahui dan tidak terikat ruang, tetap menggunakan gambaran yang menyerupakan Tuhan dengan manusia ketika memahami cerita. Gejala ini mereka sebut sebagai kesenjangan antara "kebenaran teologis" yang diucapkan dan konsep intuitif yang benar-benar digunakan dalam berpikir. Penelitian perkembangan juga menunjukkan bahwa pemahaman anak tentang pengetahuan Tuhan (Lane et al., 2010) dan tentang ruh (Richert &amp; Harris, 2006) dibangun secara bertahap dari intuisi tentang pikiran manusia. Temuan-temuan ini memang berasal dari sampel di luar konteks madrasah, tetapi memberikan peringatan penting bagi guru PAI: jawaban hafalan yang benar belum menjamin konsep yang benar.</w:t>
      </w:r>
    </w:p>
    <w:p w14:paraId="448312B4"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Persoalan tersebut berkaitan dengan tempat hafalan dalam pendidikan Islam. Boyle (2006) menunjukkan bahwa dalam tradisi sekolah Islam, hafalan tidak dipandang sebagai lawan dari pemahaman, melainkan sebagai langkah awal menuju pemahaman. Dengan demikian, masalahnya bukan hafalan itu sendiri, melainkan pembelajaran yang berhenti pada hafalan tanpa tahap pemaknaan. Sahin (2018) dan Agbaria (2024) mengkritik pendidikan Islam yang hanya bersifat transmisi dan menawarkan pendekatan dialogis dan reflektif, yaitu pendekatan yang memberi ruang bagi peserta didik untuk bertanya dan memeriksa pemahamannya. Pendekatan ini sejalan dengan kebutuhan untuk mengungkap dan memperbaiki miskonsepsi.</w:t>
      </w:r>
    </w:p>
    <w:p w14:paraId="737157AF"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Di Indonesia, kajian tentang penerapan teori belajar dalam PAI terus bertambah, antara lain mengenai konstruktivisme Vygotsky (Ariansyah, 2023), konstruktivisme Piaget (Busri et al., 2026; Ma'rifah &amp; Asroni, 2024), belajar bermakna Ausubel (Muamanah &amp; Suyadi, 2020), dan teori belajar kognitif dalam Kurikulum Merdeka (Syuhud &amp; Farid, 2024). Namun, kajian-kajian tersebut membahas teori belajar secara umum dan belum menjadikan miskonsepsi sebagai fokus. Penelitian empiris yang secara khusus membahas strategi guru mengatasi miskonsepsi PAI di pendidikan dasar masih terbatas. Salah satunya adalah studi kualitatif Jannah et al. (2024) di satu sekolah dasar di Jepara, yang melaporkan empat strategi guru, yaitu pembelajaran kontekstual dengan permainan edukatif, latihan berulang dengan media audiovisual, bercerita berbantuan media digital, dan proyek kreatif. Di sisi lain, Salamat et al. (2026) menunjukkan bahwa pengetahuan keagamaan anak usia sekolah dasar juga dibentuk oleh lembaga nonformal seperti Taman Pendidikan Al-Qur'an (TPA). Artinya, pengetahuan awal yang dibawa anak ke kelas berasal dari berbagai sumber yang perlu dikenali guru.</w:t>
      </w:r>
    </w:p>
    <w:p w14:paraId="5E3DBBAD"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Faktor guru menjadi kunci. Sadler et al. (2013) menemukan bahwa peserta didik memperoleh kenaikan hasil belajar lebih besar ketika guru mereka tidak hanya menguasai jawaban yang benar, tetapi juga mampu mengenali miskonsepsi yang umum dimiliki peserta didik. Pengetahuan semacam ini merupakan bagian dari pengetahuan pedagogis konten atau </w:t>
      </w:r>
      <w:r>
        <w:rPr>
          <w:rStyle w:val="fontstyle01"/>
          <w:rFonts w:ascii="Minion Pro" w:hAnsi="Minion Pro"/>
          <w:i/>
        </w:rPr>
        <w:t>pedagogical content knowledge</w:t>
      </w:r>
      <w:r>
        <w:rPr>
          <w:rStyle w:val="fontstyle01"/>
          <w:rFonts w:ascii="Minion Pro" w:hAnsi="Minion Pro"/>
        </w:rPr>
        <w:t xml:space="preserve"> (PCK) (Depaepe et al., 2013; Shulman, 1986). Bagi lulusan dan mahasiswa Pendidikan Guru Madrasah </w:t>
      </w:r>
      <w:r>
        <w:rPr>
          <w:rStyle w:val="fontstyle01"/>
          <w:rFonts w:ascii="Minion Pro" w:hAnsi="Minion Pro"/>
        </w:rPr>
        <w:lastRenderedPageBreak/>
        <w:t>Ibtidaiyah (PGMI), yang mengajar PAI bersama mata pelajaran lain, kemampuan mendiagnosis dan memperbaiki miskonsepsi perlu dibangun sejak pendidikan prajabatan (Darling-Hammond, 2006).</w:t>
      </w:r>
    </w:p>
    <w:p w14:paraId="0155B34B"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Berdasarkan uraian tersebut, terdapat celah kajian berupa belum tersedianya sintesis yang menghubungkan teori perubahan konseptual, temuan tentang kognisi keagamaan anak, literatur pendidikan Islam, dan PCK guru ke dalam kerangka kerja yang dapat digunakan guru PGMI. Kajian ini bertujuan menjawab tiga pertanyaan: (1) bentuk miskonsepsi apa saja yang berpotensi muncul dalam pembelajaran PAI di MI; (2) faktor apa saja yang menyebabkannya; dan (3) strategi apa yang dapat digunakan guru PGMI untuk mengidentifikasi dan memperbaikinya. Secara teoretis, kajian ini memperluas penerapan teori perubahan konseptual ke ranah pendidikan agama. Secara praktis, kajian ini menawarkan model penanganan miskonsepsi beserta contoh penerapannya bagi guru dan program studi PGMI.</w:t>
      </w:r>
    </w:p>
    <w:p w14:paraId="4FCBF6BF" w14:textId="77777777" w:rsidR="00AF176B" w:rsidRPr="00AF176B" w:rsidRDefault="00AF176B" w:rsidP="004F1A5E">
      <w:pPr>
        <w:spacing w:after="0" w:line="240" w:lineRule="auto"/>
        <w:ind w:firstLine="851"/>
        <w:jc w:val="both"/>
        <w:rPr>
          <w:rFonts w:ascii="Minion Pro" w:hAnsi="Minion Pro" w:cs="Times New Roman"/>
          <w:sz w:val="24"/>
          <w:szCs w:val="24"/>
        </w:rPr>
      </w:pPr>
    </w:p>
    <w:p w14:paraId="5EC5E78F" w14:textId="77777777" w:rsidR="00F618F2" w:rsidRDefault="00000000">
      <w:pPr>
        <w:pStyle w:val="DaftarParagraf"/>
        <w:numPr>
          <w:ilvl w:val="0"/>
          <w:numId w:val="1"/>
        </w:numPr>
        <w:spacing w:after="0" w:line="240" w:lineRule="auto"/>
        <w:ind w:left="284" w:right="71" w:hanging="284"/>
        <w:contextualSpacing w:val="0"/>
        <w:jc w:val="both"/>
        <w:rPr>
          <w:rFonts w:ascii="Minion Pro" w:hAnsi="Minion Pro" w:cs="Times New Roman"/>
          <w:sz w:val="24"/>
          <w:szCs w:val="24"/>
        </w:rPr>
      </w:pPr>
      <w:r>
        <w:rPr>
          <w:rFonts w:ascii="Minion Pro" w:hAnsi="Minion Pro" w:cs="Times New Roman"/>
          <w:b/>
          <w:sz w:val="24"/>
          <w:szCs w:val="24"/>
        </w:rPr>
        <w:t>Kajian Teori</w:t>
      </w:r>
    </w:p>
    <w:p w14:paraId="69514D03"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Miskonsepsi dan Perubahan Konseptual</w:t>
      </w:r>
    </w:p>
    <w:p w14:paraId="6F0453CA"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Miskonsepsi perlu dibedakan dari ketidaktahuan dan kesalahan sesaat. Ketidaktahuan terjadi ketika peserta didik belum memiliki informasi yang memadai, sedangkan kesalahan sesaat muncul karena lupa, kurang teliti, atau salah membaca soal. Miskonsepsi cenderung tampak ketika peserta didik mempertahankan pemahaman yang keliru secara konsisten dan dapat memberikan alasan untuk mendukungnya (Suparno, 2013). Karena itu, satu jawaban salah belum cukup untuk menyimpulkan adanya miskonsepsi. Guru perlu memeriksa alasan dan konsistensi jawaban peserta didik.</w:t>
      </w:r>
    </w:p>
    <w:p w14:paraId="140F5536"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Posner et al. (1982) merumuskan empat syarat agar peserta didik bersedia mengganti konsep lamanya: peserta didik merasa tidak puas terhadap konsep lama, konsep baru dapat dimengerti, konsep baru masuk akal, dan konsep baru bermanfaat untuk menjelaskan situasi lain. Vosniadou (1994) menambahkan bahwa gagasan awal anak bertumpu pada praanggapan yang lebih dalam. Ketika informasi baru bertentangan dengan praanggapan tersebut, anak sering membentuk "model sintetis", yaitu gabungan antara konsep yang diajarkan dan intuisi semula. Perubahan konseptual karena itu berlangsung bertahap, bukan seketika.</w:t>
      </w:r>
    </w:p>
    <w:p w14:paraId="2B44B097"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Chi (2008) membedakan tiga jenis perubahan konseptual: revisi keyakinan tunggal yang keliru, transformasi model mental yang utuh, dan pergeseran kategori, yaitu ketika suatu konsep dipahami dalam kategori yang salah. Ketiganya menuntut strategi yang berbeda. Revisi keyakinan relatif dapat dilakukan dengan sanggahan langsung, sedangkan pergeseran kategori paling sulit karena peserta didik sering tidak menyadari bahwa kategori yang digunakannya keliru (Chi &amp; Roscoe, 2002). Pembedaan ini menjadi lensa utama untuk menganalisis miskonsepsi PAI dalam kajian ini.</w:t>
      </w:r>
    </w:p>
    <w:p w14:paraId="05375EA3"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Karakteristik Pembelajaran PAI dan Perkembangan Peserta Didik MI</w:t>
      </w:r>
    </w:p>
    <w:p w14:paraId="38363528"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Peserta didik MI umumnya berada pada tahap operasional konkret, sehingga mereka lebih mudah memahami konsep melalui pengalaman, contoh nyata, dan manipulasi objek daripada melalui definisi abstrak (Piaget, 1970). Vygotsky (1978) </w:t>
      </w:r>
      <w:r>
        <w:rPr>
          <w:rStyle w:val="fontstyle01"/>
          <w:rFonts w:ascii="Minion Pro" w:eastAsiaTheme="minorHAnsi" w:hAnsi="Minion Pro" w:cstheme="minorBidi"/>
        </w:rPr>
        <w:lastRenderedPageBreak/>
        <w:t>menekankan bahwa kemampuan berpikir anak berkembang melalui interaksi sosial dan bantuan dari orang yang lebih kompeten, sedangkan Ausubel (1968) menegaskan bahwa belajar menjadi bermakna ketika informasi baru dikaitkan dengan struktur pengetahuan yang sudah dimiliki. Ketiga pandangan ini menjelaskan mengapa pengetahuan awal anak, baik yang tepat maupun yang keliru, sangat menentukan hasil belajar.</w:t>
      </w:r>
    </w:p>
    <w:p w14:paraId="12A2243D"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PAI memiliki karakteristik yang membedakannya dari sains. Pertama, kebenaran konsep PAI merujuk pada sumber normatif, yaitu Al-Qur'an, hadis, dan khazanah keilmuan Islam, bukan pada pengamatan empiris. Kedua, sebagian materi berupa keterampilan ibadah yang harus dipraktikkan, sebagian berupa nilai akhlak yang harus dihayati, dan sebagian lagi berupa konsep akidah yang abstrak. Ketiga, dalam sejumlah persoalan fikih terdapat perbedaan pendapat (</w:t>
      </w:r>
      <w:r>
        <w:rPr>
          <w:rStyle w:val="fontstyle01"/>
          <w:rFonts w:ascii="Minion Pro" w:eastAsiaTheme="minorHAnsi" w:hAnsi="Minion Pro" w:cstheme="minorBidi"/>
          <w:i/>
        </w:rPr>
        <w:t>khilafiyah</w:t>
      </w:r>
      <w:r>
        <w:rPr>
          <w:rStyle w:val="fontstyle01"/>
          <w:rFonts w:ascii="Minion Pro" w:eastAsiaTheme="minorHAnsi" w:hAnsi="Minion Pro" w:cstheme="minorBidi"/>
        </w:rPr>
        <w:t>) yang diakui. Karena itu, guru perlu membedakan miskonsepsi, yaitu pemahaman yang bertentangan dengan ketentuan yang disepakati atau dengan materi yang diajarkan, dari praktik yang berbeda tetapi memiliki dasar dalam tradisi keilmuan Islam.</w:t>
      </w:r>
    </w:p>
    <w:p w14:paraId="7154F06E"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Pengetahuan Pedagogis Konten dan Kompetensi Guru</w:t>
      </w:r>
    </w:p>
    <w:p w14:paraId="6298959C"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Shulman (1986) memperkenalkan PCK sebagai perpaduan antara penguasaan materi dan pengetahuan tentang cara mengajarkannya, termasuk pengetahuan tentang konsepsi dan miskonsepsi yang biasa dibawa peserta didik. Tinjauan sistematis Depaepe et al. (2013) menunjukkan bahwa pengetahuan tentang pemahaman dan kesulitan peserta didik merupakan komponen PCK yang paling konsisten disebut dalam berbagai konseptualisasi. Di Indonesia, kemampuan tersebut tercakup dalam kompetensi pedagogik dan profesional sebagaimana diatur dalam Undang-Undang Republik Indonesia Nomor 14 Tahun 2005 tentang Guru dan Dosen (2005), di samping kompetensi sosial dan kepribadian.</w:t>
      </w:r>
    </w:p>
    <w:p w14:paraId="12B06002"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Darling-Hammond (2006) menegaskan bahwa pendidikan guru yang efektif mengaitkan teori dengan praktik secara erat, misalnya melalui analisis hasil kerja peserta didik dan pengalaman lapangan yang terbimbing. Prinsip ini relevan bagi program studi PGMI. Calon guru perlu dilatih menyusun pertanyaan diagnostik, menganalisis jawaban anak, dan merancang pembelajaran perbaikan, tidak hanya menguasai materi PAI.</w:t>
      </w:r>
    </w:p>
    <w:p w14:paraId="135FFA81" w14:textId="77777777" w:rsidR="00AF176B" w:rsidRPr="00AF176B" w:rsidRDefault="00AF176B" w:rsidP="004F1A5E">
      <w:pPr>
        <w:spacing w:after="0" w:line="240" w:lineRule="auto"/>
        <w:ind w:firstLine="851"/>
        <w:jc w:val="both"/>
        <w:rPr>
          <w:rFonts w:ascii="Minion Pro" w:hAnsi="Minion Pro" w:cs="Times New Roman"/>
          <w:sz w:val="24"/>
          <w:szCs w:val="24"/>
        </w:rPr>
      </w:pPr>
    </w:p>
    <w:p w14:paraId="6419EF2B" w14:textId="77777777" w:rsidR="00F618F2" w:rsidRDefault="00000000">
      <w:pPr>
        <w:pStyle w:val="DaftarParagraf"/>
        <w:numPr>
          <w:ilvl w:val="0"/>
          <w:numId w:val="1"/>
        </w:numPr>
        <w:spacing w:after="0" w:line="240" w:lineRule="auto"/>
        <w:ind w:left="284" w:right="71" w:hanging="284"/>
        <w:contextualSpacing w:val="0"/>
        <w:jc w:val="both"/>
        <w:rPr>
          <w:rFonts w:ascii="Minion Pro" w:hAnsi="Minion Pro" w:cs="Times New Roman"/>
          <w:sz w:val="24"/>
          <w:szCs w:val="24"/>
        </w:rPr>
      </w:pPr>
      <w:r>
        <w:rPr>
          <w:rFonts w:ascii="Minion Pro" w:hAnsi="Minion Pro" w:cs="Times New Roman"/>
          <w:b/>
          <w:sz w:val="24"/>
          <w:szCs w:val="24"/>
        </w:rPr>
        <w:t>Metode Penelitian</w:t>
      </w:r>
    </w:p>
    <w:p w14:paraId="51F92953"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Penelitian ini menggunakan pendekatan kualitatif (Creswell &amp; Poth, 2018) dengan desain tinjauan pustaka integratif (</w:t>
      </w:r>
      <w:r>
        <w:rPr>
          <w:rStyle w:val="fontstyle01"/>
          <w:rFonts w:ascii="Minion Pro" w:hAnsi="Minion Pro"/>
          <w:i/>
        </w:rPr>
        <w:t>integrative literature review</w:t>
      </w:r>
      <w:r>
        <w:rPr>
          <w:rStyle w:val="fontstyle01"/>
          <w:rFonts w:ascii="Minion Pro" w:hAnsi="Minion Pro"/>
        </w:rPr>
        <w:t>). Desain ini dipilih karena memungkinkan peneliti memadukan literatur teoretis dan empiris dari berbagai desain penelitian untuk menghasilkan kerangka konseptual baru (Torraco, 2005; Whittemore &amp; Knafl, 2005). Berbeda dari tinjauan sistematis yang bertujuan mengagregasi bukti efektivitas, tinjauan integratif bertujuan membangun sintesis dan perspektif baru atas suatu persoalan (Grant &amp; Booth, 2009; Snyder, 2019). Desain ini sesuai dengan kondisi literatur miskonsepsi PAI yang masih terbatas dan tersebar di beberapa bidang.</w:t>
      </w:r>
    </w:p>
    <w:p w14:paraId="5EB333C9" w14:textId="4AD7D1CC"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Prosedur penelitian mengikuti lima tahap tinjauan integratif menurut Whittemore dan Knafl (2005), yaitu identifikasi masalah, penelusuran literatur, evaluasi data, analisis data, dan penyajian hasil. Pada tahap identifikasi masalah, </w:t>
      </w:r>
      <w:r>
        <w:rPr>
          <w:rStyle w:val="fontstyle01"/>
          <w:rFonts w:ascii="Minion Pro" w:hAnsi="Minion Pro"/>
        </w:rPr>
        <w:lastRenderedPageBreak/>
        <w:t xml:space="preserve">peneliti merumuskan tiga pertanyaan penelitian sebagaimana tercantum pada bagian pendahuluan. Penelusuran literatur dilakukan melalui Google Scholar, Crossref, ERIC, DOAJ, dan laman penerbit, dilengkapi dengan penelusuran daftar rujukan dari artikel kunci. Kata kunci yang digunakan meliputi "miskonsepsi pembelajaran PAI", "strategi guru mengatasi miskonsepsi", "Islamic religious education misconception", "conceptual change", "diagnostic test misconception", "children's concept of God", "memorization Islamic schools", dan "pedagogical content knowledge". </w:t>
      </w:r>
    </w:p>
    <w:p w14:paraId="1BD68FAC" w14:textId="68730296"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Literatur dimasukkan apabila memenuhi kriteria berikut: (a) membahas miskonsepsi atau perubahan konseptual, asesmen diagnostik dan formatif, kognisi keagamaan anak, pembelajaran PAI atau pendidikan Islam, atau kompetensi dan PCK guru; (b) berupa artikel jurnal yang melalui telaah sejawat, buku akademik, atau regulasi resmi; (c) memiliki identitas publikasi yang dapat diverifikasi melalui DOI, laman jurnal, atau penerbit; dan (d) ditulis dalam bahasa Indonesia atau Inggris. Karya klasik tetap disertakan apabila menjadi rujukan dasar suatu teori. Literatur tanpa identitas publikasi yang jelas atau yang metadatanya tidak dapat diverifikasi dikeluarkan. Untuk transparansi, alur seleksi dilaporkan dengan mengacu pada prinsip pelaporan PRISMA 2020 (Page et al., 2021): penelusuran menghasilkan 36 sumber membentuk korpus akhir. Komposisi korpus disajikan pada Tabel 1.</w:t>
      </w:r>
    </w:p>
    <w:p w14:paraId="1152714F" w14:textId="77777777" w:rsidR="00F618F2" w:rsidRDefault="00000000">
      <w:pPr>
        <w:pStyle w:val="NormalWeb"/>
        <w:spacing w:before="0" w:beforeAutospacing="0" w:after="0" w:afterAutospacing="0"/>
        <w:ind w:left="567"/>
        <w:jc w:val="center"/>
        <w:rPr>
          <w:rFonts w:ascii="Minion Pro" w:hAnsi="Minion Pro"/>
        </w:rPr>
      </w:pPr>
      <w:r>
        <w:rPr>
          <w:rFonts w:ascii="Minion Pro" w:hAnsi="Minion Pro"/>
        </w:rPr>
        <w:t>Tabel 1. Komposisi Korpus Literatur yang Disintesis</w:t>
      </w:r>
    </w:p>
    <w:tbl>
      <w:tblPr>
        <w:tblStyle w:val="BayanganTipis"/>
        <w:tblW w:w="0" w:type="auto"/>
        <w:tblInd w:w="675" w:type="dxa"/>
        <w:tblLook w:val="04A0" w:firstRow="1" w:lastRow="0" w:firstColumn="1" w:lastColumn="0" w:noHBand="0" w:noVBand="1"/>
      </w:tblPr>
      <w:tblGrid>
        <w:gridCol w:w="2363"/>
        <w:gridCol w:w="2643"/>
        <w:gridCol w:w="3390"/>
      </w:tblGrid>
      <w:tr w:rsidR="00F618F2" w14:paraId="18A708F0" w14:textId="77777777" w:rsidTr="00F61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22D1A38A" w14:textId="77777777" w:rsidR="00F618F2" w:rsidRDefault="00000000">
            <w:pPr>
              <w:pStyle w:val="NormalWeb"/>
              <w:spacing w:before="0" w:beforeAutospacing="0" w:after="0" w:afterAutospacing="0"/>
              <w:jc w:val="center"/>
              <w:rPr>
                <w:rFonts w:ascii="Minion Pro" w:hAnsi="Minion Pro"/>
              </w:rPr>
            </w:pPr>
            <w:r>
              <w:rPr>
                <w:rFonts w:ascii="Minion Pro" w:hAnsi="Minion Pro"/>
                <w:sz w:val="20"/>
                <w:szCs w:val="20"/>
              </w:rPr>
              <w:t>Klaster</w:t>
            </w:r>
          </w:p>
        </w:tc>
        <w:tc>
          <w:tcPr>
            <w:tcW w:w="2700" w:type="dxa"/>
            <w:vAlign w:val="center"/>
            <w:hideMark/>
          </w:tcPr>
          <w:p w14:paraId="5F7BB5AE"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Fokus</w:t>
            </w:r>
          </w:p>
        </w:tc>
        <w:tc>
          <w:tcPr>
            <w:tcW w:w="3500" w:type="dxa"/>
            <w:vAlign w:val="center"/>
            <w:hideMark/>
          </w:tcPr>
          <w:p w14:paraId="27F5B82B"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Sumber</w:t>
            </w:r>
          </w:p>
        </w:tc>
      </w:tr>
      <w:tr w:rsidR="00F618F2" w14:paraId="0F62EB6A"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5B0EA552"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Teori miskonsepsi dan perubahan konseptual (6)</w:t>
            </w:r>
          </w:p>
        </w:tc>
        <w:tc>
          <w:tcPr>
            <w:tcW w:w="2700" w:type="dxa"/>
            <w:vAlign w:val="center"/>
            <w:hideMark/>
          </w:tcPr>
          <w:p w14:paraId="5BE9153A"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Sifat gagasan awal dan mekanisme perubahan konsep</w:t>
            </w:r>
          </w:p>
        </w:tc>
        <w:tc>
          <w:tcPr>
            <w:tcW w:w="3500" w:type="dxa"/>
            <w:vAlign w:val="center"/>
            <w:hideMark/>
          </w:tcPr>
          <w:p w14:paraId="17E03521"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Posner et al. (1982); Smith et al. (1993); Vosniadou (1994); Chi &amp; Roscoe (2002); Chi (2008); Suparno (2013)</w:t>
            </w:r>
          </w:p>
        </w:tc>
      </w:tr>
      <w:tr w:rsidR="00F618F2" w14:paraId="62A3DD34" w14:textId="77777777" w:rsidTr="00F618F2">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60EDEC5D"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Asesmen diagnostik, formatif, dan umpan balik (5)</w:t>
            </w:r>
          </w:p>
        </w:tc>
        <w:tc>
          <w:tcPr>
            <w:tcW w:w="2700" w:type="dxa"/>
            <w:vAlign w:val="center"/>
            <w:hideMark/>
          </w:tcPr>
          <w:p w14:paraId="2291A818"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Cara mengungkap dan memperbaiki miskonsepsi</w:t>
            </w:r>
          </w:p>
        </w:tc>
        <w:tc>
          <w:tcPr>
            <w:tcW w:w="3500" w:type="dxa"/>
            <w:vAlign w:val="center"/>
            <w:hideMark/>
          </w:tcPr>
          <w:p w14:paraId="48EA614F"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Treagust (1988); Black &amp; Wiliam (1998); Hattie &amp; Timperley (2007); Tippett (2010); Kaltakci Gurel et al. (2015)</w:t>
            </w:r>
          </w:p>
        </w:tc>
      </w:tr>
      <w:tr w:rsidR="00F618F2" w14:paraId="5E045BEB"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4369F4FF"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Kognisi keagamaan anak (3)</w:t>
            </w:r>
          </w:p>
        </w:tc>
        <w:tc>
          <w:tcPr>
            <w:tcW w:w="2700" w:type="dxa"/>
            <w:vAlign w:val="center"/>
            <w:hideMark/>
          </w:tcPr>
          <w:p w14:paraId="52E8C40F"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Perkembangan konsep tentang Tuhan dan ruh</w:t>
            </w:r>
          </w:p>
        </w:tc>
        <w:tc>
          <w:tcPr>
            <w:tcW w:w="3500" w:type="dxa"/>
            <w:vAlign w:val="center"/>
            <w:hideMark/>
          </w:tcPr>
          <w:p w14:paraId="46B66318"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Barrett &amp; Keil (1996); Richert &amp; Harris (2006); Lane et al. (2010)</w:t>
            </w:r>
          </w:p>
        </w:tc>
      </w:tr>
      <w:tr w:rsidR="00F618F2" w14:paraId="536DE849" w14:textId="77777777" w:rsidTr="00F618F2">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68473C28"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Teori belajar dan perkembangan (4)</w:t>
            </w:r>
          </w:p>
        </w:tc>
        <w:tc>
          <w:tcPr>
            <w:tcW w:w="2700" w:type="dxa"/>
            <w:vAlign w:val="center"/>
            <w:hideMark/>
          </w:tcPr>
          <w:p w14:paraId="0FDBB90E"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Dasar psikologis pembelajaran di MI</w:t>
            </w:r>
          </w:p>
        </w:tc>
        <w:tc>
          <w:tcPr>
            <w:tcW w:w="3500" w:type="dxa"/>
            <w:vAlign w:val="center"/>
            <w:hideMark/>
          </w:tcPr>
          <w:p w14:paraId="7B56FE7C"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Ausubel (1968); Piaget (1970); Vygotsky (1978); Bransford et al. (2000)</w:t>
            </w:r>
          </w:p>
        </w:tc>
      </w:tr>
      <w:tr w:rsidR="00F618F2" w14:paraId="7CD9C05A"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3A75217F"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Pendidikan Islam dan PAI (13)</w:t>
            </w:r>
          </w:p>
        </w:tc>
        <w:tc>
          <w:tcPr>
            <w:tcW w:w="2700" w:type="dxa"/>
            <w:vAlign w:val="center"/>
            <w:hideMark/>
          </w:tcPr>
          <w:p w14:paraId="3A92CAF8"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Tujuan, tradisi, dan praktik pembelajaran PAI</w:t>
            </w:r>
          </w:p>
        </w:tc>
        <w:tc>
          <w:tcPr>
            <w:tcW w:w="3500" w:type="dxa"/>
            <w:vAlign w:val="center"/>
            <w:hideMark/>
          </w:tcPr>
          <w:p w14:paraId="2C817106"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Zuhdi (2006); Boyle (2006); Daradjat (2011); Majid (2014); Sahin (2018); Muamanah &amp; Suyadi (2020); Ariansyah (2023); Agbaria (2024); Jannah et al. (2024); Ma'rifah &amp; Asroni (2024); Syuhud &amp; Farid (2024); Busri et al. (2026); Salamat et al. (2026)</w:t>
            </w:r>
          </w:p>
        </w:tc>
      </w:tr>
      <w:tr w:rsidR="00F618F2" w14:paraId="58D9EF4F" w14:textId="77777777" w:rsidTr="00F618F2">
        <w:tc>
          <w:tcPr>
            <w:cnfStyle w:val="001000000000" w:firstRow="0" w:lastRow="0" w:firstColumn="1" w:lastColumn="0" w:oddVBand="0" w:evenVBand="0" w:oddHBand="0" w:evenHBand="0" w:firstRowFirstColumn="0" w:firstRowLastColumn="0" w:lastRowFirstColumn="0" w:lastRowLastColumn="0"/>
            <w:tcW w:w="2400" w:type="dxa"/>
            <w:vAlign w:val="center"/>
            <w:hideMark/>
          </w:tcPr>
          <w:p w14:paraId="48B54058"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Kompetensi guru dan PCK (5)</w:t>
            </w:r>
          </w:p>
        </w:tc>
        <w:tc>
          <w:tcPr>
            <w:tcW w:w="2700" w:type="dxa"/>
            <w:vAlign w:val="center"/>
            <w:hideMark/>
          </w:tcPr>
          <w:p w14:paraId="6C724F5A"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Pengetahuan dan kompetensi guru</w:t>
            </w:r>
          </w:p>
        </w:tc>
        <w:tc>
          <w:tcPr>
            <w:tcW w:w="3500" w:type="dxa"/>
            <w:vAlign w:val="center"/>
            <w:hideMark/>
          </w:tcPr>
          <w:p w14:paraId="785B124C"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UU No. 14 Tahun 2005; Shulman (1986); Darling-Hammond (2006); Depaepe et al. (2013); Sadler et al. (2013)</w:t>
            </w:r>
          </w:p>
        </w:tc>
      </w:tr>
    </w:tbl>
    <w:p w14:paraId="3BBE93B9" w14:textId="77777777" w:rsidR="00F618F2" w:rsidRDefault="00000000">
      <w:pPr>
        <w:pStyle w:val="NormalWeb"/>
        <w:spacing w:before="0" w:beforeAutospacing="0" w:after="0" w:afterAutospacing="0"/>
        <w:ind w:left="567"/>
        <w:jc w:val="both"/>
        <w:rPr>
          <w:rFonts w:ascii="Minion Pro" w:hAnsi="Minion Pro"/>
        </w:rPr>
      </w:pPr>
      <w:r>
        <w:rPr>
          <w:rFonts w:ascii="Minion Pro" w:hAnsi="Minion Pro"/>
          <w:sz w:val="20"/>
        </w:rPr>
        <w:t>Sumber: data penelitian (diolah penulis).</w:t>
      </w:r>
    </w:p>
    <w:p w14:paraId="1935FADF"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Data dianalisis dengan analisis isi kualitatif (Krippendorff, 2019) dan sintesis tematik yang mengikuti enam fase Braun dan Clarke (2006): membaca berulang, pengodean awal, pencarian tema, peninjauan tema, pendefinisian tema, dan penulisan </w:t>
      </w:r>
      <w:r>
        <w:rPr>
          <w:rStyle w:val="fontstyle01"/>
          <w:rFonts w:ascii="Minion Pro" w:hAnsi="Minion Pro"/>
        </w:rPr>
        <w:lastRenderedPageBreak/>
        <w:t>laporan. Kode awal disusun berdasarkan pertanyaan penelitian, yaitu bentuk miskonsepsi, sumber miskonsepsi, strategi identifikasi, strategi perbaikan, dan kompetensi guru, lalu disempurnakan selama proses pembacaan. Temuan yang berasal dari pendidikan sains atau dari sampel di luar konteks madrasah diperlakukan sebagai lensa analisis, bukan sebagai bukti yang langsung berlaku. Setiap temuan tersebut diperiksa kesesuaiannya dengan karakteristik PAI, terutama rujukan normatif, praktik ibadah, dan dimensi akhlak.</w:t>
      </w:r>
    </w:p>
    <w:p w14:paraId="46E60E9C" w14:textId="74145398"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Kredibilitas sintesis dijaga melalui tiga langkah: verifikasi metadata seluruh sumber pada Crossref atau laman penerbit, perbandingan temuan antarsumber untuk mengidentifikasi kesesuaian maupun perbedaan. Karena berbentuk tinjauan pustaka, kesimpulan penelitian ini terbatas pada sintesis teori dan temuan yang tersedia, dan tidak dimaksudkan sebagai bukti efektivitas yang diuji langsung di lapangan.</w:t>
      </w:r>
    </w:p>
    <w:p w14:paraId="02CB4919" w14:textId="77777777" w:rsidR="00AF176B" w:rsidRPr="00AF176B" w:rsidRDefault="00AF176B" w:rsidP="004F1A5E">
      <w:pPr>
        <w:spacing w:after="0" w:line="240" w:lineRule="auto"/>
        <w:ind w:firstLine="851"/>
        <w:jc w:val="both"/>
        <w:rPr>
          <w:rFonts w:ascii="Minion Pro" w:hAnsi="Minion Pro" w:cs="Times New Roman"/>
          <w:sz w:val="24"/>
          <w:szCs w:val="24"/>
        </w:rPr>
      </w:pPr>
    </w:p>
    <w:p w14:paraId="4BBFF011" w14:textId="77777777" w:rsidR="00F618F2" w:rsidRDefault="00000000">
      <w:pPr>
        <w:pStyle w:val="DaftarParagraf"/>
        <w:numPr>
          <w:ilvl w:val="0"/>
          <w:numId w:val="1"/>
        </w:numPr>
        <w:spacing w:after="0" w:line="240" w:lineRule="auto"/>
        <w:ind w:left="284" w:right="71" w:hanging="284"/>
        <w:contextualSpacing w:val="0"/>
        <w:jc w:val="both"/>
        <w:rPr>
          <w:rFonts w:ascii="Minion Pro" w:hAnsi="Minion Pro" w:cs="Times New Roman"/>
          <w:sz w:val="24"/>
          <w:szCs w:val="24"/>
        </w:rPr>
      </w:pPr>
      <w:r>
        <w:rPr>
          <w:rFonts w:ascii="Minion Pro" w:hAnsi="Minion Pro" w:cs="Times New Roman"/>
          <w:b/>
          <w:sz w:val="24"/>
          <w:szCs w:val="24"/>
        </w:rPr>
        <w:t>Hasil dan Pembahasan</w:t>
      </w:r>
    </w:p>
    <w:p w14:paraId="1D69878F"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Peta Bentuk Miskonsepsi dalam Pembelajaran PAI di MI</w:t>
      </w:r>
    </w:p>
    <w:p w14:paraId="74823916"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Sintesis literatur menghasilkan peta kemungkinan miskonsepsi pada lima bidang PAI di MI (Tabel 2). Peta ini merupakan kerangka analisis untuk membantu guru mengantisipasi miskonsepsi, bukan data prevalensi hasil pengukuran lapangan. Satu-satunya laporan empiris dalam korpus yang secara khusus menyinggung isi miskonsepsi PAI di sekolah dasar adalah Jannah et al. (2024), yang mengaitkan miskonsepsi peserta didik dengan lemahnya pemahaman dasar tentang rukun Islam dan rukun iman. Keterbatasan bukti ini menegaskan perlunya penelitian diagnostik di MI.</w:t>
      </w:r>
    </w:p>
    <w:p w14:paraId="42D4ED6A" w14:textId="77777777" w:rsidR="00F618F2" w:rsidRDefault="00000000">
      <w:pPr>
        <w:pStyle w:val="NormalWeb"/>
        <w:spacing w:before="0" w:beforeAutospacing="0" w:after="0" w:afterAutospacing="0"/>
        <w:ind w:left="567"/>
        <w:jc w:val="center"/>
        <w:rPr>
          <w:rFonts w:ascii="Minion Pro" w:hAnsi="Minion Pro"/>
        </w:rPr>
      </w:pPr>
      <w:r>
        <w:rPr>
          <w:rFonts w:ascii="Minion Pro" w:hAnsi="Minion Pro"/>
        </w:rPr>
        <w:t>Tabel 2. Peta Kemungkinan Miskonsepsi PAI di MI dan Jenis Perubahan Konseptual yang Diperlukan</w:t>
      </w:r>
    </w:p>
    <w:tbl>
      <w:tblPr>
        <w:tblStyle w:val="BayanganTipis"/>
        <w:tblW w:w="0" w:type="auto"/>
        <w:tblInd w:w="675" w:type="dxa"/>
        <w:tblLook w:val="04A0" w:firstRow="1" w:lastRow="0" w:firstColumn="1" w:lastColumn="0" w:noHBand="0" w:noVBand="1"/>
      </w:tblPr>
      <w:tblGrid>
        <w:gridCol w:w="1490"/>
        <w:gridCol w:w="2803"/>
        <w:gridCol w:w="2149"/>
        <w:gridCol w:w="1954"/>
      </w:tblGrid>
      <w:tr w:rsidR="00F618F2" w14:paraId="65237424" w14:textId="77777777" w:rsidTr="00F61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7DA4CF0D" w14:textId="77777777" w:rsidR="00F618F2" w:rsidRDefault="00000000">
            <w:pPr>
              <w:pStyle w:val="NormalWeb"/>
              <w:spacing w:before="0" w:beforeAutospacing="0" w:after="0" w:afterAutospacing="0"/>
              <w:jc w:val="center"/>
              <w:rPr>
                <w:rFonts w:ascii="Minion Pro" w:hAnsi="Minion Pro"/>
              </w:rPr>
            </w:pPr>
            <w:r>
              <w:rPr>
                <w:rFonts w:ascii="Minion Pro" w:hAnsi="Minion Pro"/>
                <w:sz w:val="20"/>
                <w:szCs w:val="20"/>
              </w:rPr>
              <w:t>Bidang</w:t>
            </w:r>
          </w:p>
        </w:tc>
        <w:tc>
          <w:tcPr>
            <w:tcW w:w="2900" w:type="dxa"/>
            <w:vAlign w:val="center"/>
            <w:hideMark/>
          </w:tcPr>
          <w:p w14:paraId="36A813DE"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Contoh miskonsepsi yang mungkin muncul</w:t>
            </w:r>
          </w:p>
        </w:tc>
        <w:tc>
          <w:tcPr>
            <w:tcW w:w="2200" w:type="dxa"/>
            <w:vAlign w:val="center"/>
            <w:hideMark/>
          </w:tcPr>
          <w:p w14:paraId="690F0616"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Kemungkinan sumber</w:t>
            </w:r>
          </w:p>
        </w:tc>
        <w:tc>
          <w:tcPr>
            <w:tcW w:w="2000" w:type="dxa"/>
            <w:vAlign w:val="center"/>
            <w:hideMark/>
          </w:tcPr>
          <w:p w14:paraId="00695D0D"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Jenis perubahan (Chi, 2008)</w:t>
            </w:r>
          </w:p>
        </w:tc>
      </w:tr>
      <w:tr w:rsidR="00F618F2" w14:paraId="3016C1FA"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1C2B80AB"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Akidah</w:t>
            </w:r>
          </w:p>
        </w:tc>
        <w:tc>
          <w:tcPr>
            <w:tcW w:w="2900" w:type="dxa"/>
            <w:vAlign w:val="center"/>
            <w:hideMark/>
          </w:tcPr>
          <w:p w14:paraId="4BF3DE16"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Mampu menyebut sifat Allah Maha Mengetahui, tetapi membayangkan Allah perlu "melihat dari dekat" atau perlu laporan malaikat untuk mengetahui perbuatan manusia; memahami iman hanya sebagai ucapan</w:t>
            </w:r>
          </w:p>
        </w:tc>
        <w:tc>
          <w:tcPr>
            <w:tcW w:w="2200" w:type="dxa"/>
            <w:vAlign w:val="center"/>
            <w:hideMark/>
          </w:tcPr>
          <w:p w14:paraId="659BD425"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Intuisi antropomorfis; konsep abstrak disajikan sebagai hafalan</w:t>
            </w:r>
          </w:p>
        </w:tc>
        <w:tc>
          <w:tcPr>
            <w:tcW w:w="2000" w:type="dxa"/>
            <w:vAlign w:val="center"/>
            <w:hideMark/>
          </w:tcPr>
          <w:p w14:paraId="26268DB3"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Pergeseran kategori</w:t>
            </w:r>
          </w:p>
        </w:tc>
      </w:tr>
      <w:tr w:rsidR="00F618F2" w14:paraId="33777D83" w14:textId="77777777" w:rsidTr="00F618F2">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741C6544"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Al-Qur'an dan hadis</w:t>
            </w:r>
          </w:p>
        </w:tc>
        <w:tc>
          <w:tcPr>
            <w:tcW w:w="2900" w:type="dxa"/>
            <w:vAlign w:val="center"/>
            <w:hideMark/>
          </w:tcPr>
          <w:p w14:paraId="0065CC8E"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Menganggap hafal ayat sama dengan memahami pesannya</w:t>
            </w:r>
          </w:p>
        </w:tc>
        <w:tc>
          <w:tcPr>
            <w:tcW w:w="2200" w:type="dxa"/>
            <w:vAlign w:val="center"/>
            <w:hideMark/>
          </w:tcPr>
          <w:p w14:paraId="5C6517F6"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Pembelajaran berhenti pada hafalan tanpa pemaknaan</w:t>
            </w:r>
          </w:p>
        </w:tc>
        <w:tc>
          <w:tcPr>
            <w:tcW w:w="2000" w:type="dxa"/>
            <w:vAlign w:val="center"/>
            <w:hideMark/>
          </w:tcPr>
          <w:p w14:paraId="2D5510EF"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Transformasi model mental</w:t>
            </w:r>
          </w:p>
        </w:tc>
      </w:tr>
      <w:tr w:rsidR="00F618F2" w14:paraId="09C74AD6"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0A16D885"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Fikih</w:t>
            </w:r>
          </w:p>
        </w:tc>
        <w:tc>
          <w:tcPr>
            <w:tcW w:w="2900" w:type="dxa"/>
            <w:vAlign w:val="center"/>
            <w:hideMark/>
          </w:tcPr>
          <w:p w14:paraId="297D1633"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Menganggap kebiasaan yang dilihat di rumah sebagai satu-satunya ketentuan; belum membedakan syarat, rukun, dan sunah ibadah</w:t>
            </w:r>
          </w:p>
        </w:tc>
        <w:tc>
          <w:tcPr>
            <w:tcW w:w="2200" w:type="dxa"/>
            <w:vAlign w:val="center"/>
            <w:hideMark/>
          </w:tcPr>
          <w:p w14:paraId="3EC958A0"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Pengetahuan awal yang belum terverifikasi; informasi dari berbagai sumber</w:t>
            </w:r>
          </w:p>
        </w:tc>
        <w:tc>
          <w:tcPr>
            <w:tcW w:w="2000" w:type="dxa"/>
            <w:vAlign w:val="center"/>
            <w:hideMark/>
          </w:tcPr>
          <w:p w14:paraId="4D59D182"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Revisi keyakinan dan transformasi model mental</w:t>
            </w:r>
          </w:p>
        </w:tc>
      </w:tr>
      <w:tr w:rsidR="00F618F2" w14:paraId="0EA32ECD" w14:textId="77777777" w:rsidTr="00F618F2">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3D8EA8B8"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Akhlak</w:t>
            </w:r>
          </w:p>
        </w:tc>
        <w:tc>
          <w:tcPr>
            <w:tcW w:w="2900" w:type="dxa"/>
            <w:vAlign w:val="center"/>
            <w:hideMark/>
          </w:tcPr>
          <w:p w14:paraId="24EB5E6E"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Menganggap perilaku jujur hanya diperlukan ketika diawasi guru, atau jujur hanya berarti tidak berbohong ketika ditanya</w:t>
            </w:r>
          </w:p>
        </w:tc>
        <w:tc>
          <w:tcPr>
            <w:tcW w:w="2200" w:type="dxa"/>
            <w:vAlign w:val="center"/>
            <w:hideMark/>
          </w:tcPr>
          <w:p w14:paraId="749275A7"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Pengalaman sosial; nilai diajarkan secara normatif tanpa refleksi</w:t>
            </w:r>
          </w:p>
        </w:tc>
        <w:tc>
          <w:tcPr>
            <w:tcW w:w="2000" w:type="dxa"/>
            <w:vAlign w:val="center"/>
            <w:hideMark/>
          </w:tcPr>
          <w:p w14:paraId="31B883C0"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Transformasi model mental</w:t>
            </w:r>
          </w:p>
        </w:tc>
      </w:tr>
      <w:tr w:rsidR="00F618F2" w14:paraId="4EA33487"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hideMark/>
          </w:tcPr>
          <w:p w14:paraId="25471DFB"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lastRenderedPageBreak/>
              <w:t>Sejarah Kebudayaan Islam</w:t>
            </w:r>
          </w:p>
        </w:tc>
        <w:tc>
          <w:tcPr>
            <w:tcW w:w="2900" w:type="dxa"/>
            <w:vAlign w:val="center"/>
            <w:hideMark/>
          </w:tcPr>
          <w:p w14:paraId="3455DFCE"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Mengingat tokoh dan tahun, tetapi keliru memahami sebab dan hikmah peristiwa</w:t>
            </w:r>
          </w:p>
        </w:tc>
        <w:tc>
          <w:tcPr>
            <w:tcW w:w="2200" w:type="dxa"/>
            <w:vAlign w:val="center"/>
            <w:hideMark/>
          </w:tcPr>
          <w:p w14:paraId="5D77AF76"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Pembelajaran yang berpusat pada hafalan</w:t>
            </w:r>
          </w:p>
        </w:tc>
        <w:tc>
          <w:tcPr>
            <w:tcW w:w="2000" w:type="dxa"/>
            <w:vAlign w:val="center"/>
            <w:hideMark/>
          </w:tcPr>
          <w:p w14:paraId="53932299"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Transformasi model mental</w:t>
            </w:r>
          </w:p>
        </w:tc>
      </w:tr>
    </w:tbl>
    <w:p w14:paraId="6622FCED" w14:textId="77777777" w:rsidR="00F618F2" w:rsidRDefault="00000000">
      <w:pPr>
        <w:pStyle w:val="NormalWeb"/>
        <w:spacing w:before="0" w:beforeAutospacing="0" w:after="0" w:afterAutospacing="0"/>
        <w:ind w:left="567"/>
        <w:jc w:val="both"/>
        <w:rPr>
          <w:rFonts w:ascii="Minion Pro" w:hAnsi="Minion Pro"/>
        </w:rPr>
      </w:pPr>
      <w:r>
        <w:rPr>
          <w:rFonts w:ascii="Minion Pro" w:hAnsi="Minion Pro"/>
          <w:sz w:val="20"/>
        </w:rPr>
        <w:t>Sumber: sintesis penulis berdasarkan Barrett &amp; Keil (1996), Boyle (2006), Chi (2008), Jannah et al. (2024), Lane et al. (2010), Salamat et al. (2026), dan Vosniadou (1994).</w:t>
      </w:r>
    </w:p>
    <w:p w14:paraId="674E00CA"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Klasifikasi pada Tabel 2 menunjukkan bahwa miskonsepsi PAI tidak homogen. Miskonsepsi akidah perlu mendapat perhatian khusus karena bersifat kategorial. Temuan Barrett dan Keil (1996) mengisyaratkan bahwa peserta didik dapat menghafal sifat wajib Allah dengan benar, tetapi tetap berpikir tentang Allah dengan kategori makhluk ketika menghadapi situasi konkret. Studi perkembangan menunjukkan bahwa anak secara bertahap belajar membedakan pengetahuan Tuhan dari pengetahuan manusia (Lane et al., 2010) dan membentuk konsep ruh yang berbeda dari pikiran (Richert &amp; Harris, 2006). Bagi guru MI, implikasinya adalah bahwa tes hafalan tidak akan mengungkap miskonsepsi kategorial semacam ini. Miskonsepsi tersebut hanya tampak ketika anak diminta menerapkan konsep dalam cerita atau situasi.</w:t>
      </w:r>
    </w:p>
    <w:p w14:paraId="3681266A"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Sebaliknya, miskonsepsi fikih sering berupa keyakinan tunggal yang keliru, misalnya tentang urutan atau hal yang membatalkan ibadah, sehingga relatif dapat diperbaiki melalui demonstrasi dan umpan balik. Akan tetapi, ketika peserta didik belum memiliki struktur konsep yang membedakan syarat, rukun, dan sunah, kesalahan-kesalahan kecil tersebut merupakan gejala dari model mental yang belum utuh. Pada bidang ini, guru juga harus berhati-hati. Praktik ibadah yang dilihat anak di rumah atau di TPA dapat berbeda dari buku ajar, tetapi belum tentu keliru karena dapat termasuk </w:t>
      </w:r>
      <w:r>
        <w:rPr>
          <w:rStyle w:val="fontstyle01"/>
          <w:rFonts w:ascii="Minion Pro" w:eastAsiaTheme="minorHAnsi" w:hAnsi="Minion Pro" w:cstheme="minorBidi"/>
          <w:i/>
        </w:rPr>
        <w:t>khilafiyah</w:t>
      </w:r>
      <w:r>
        <w:rPr>
          <w:rStyle w:val="fontstyle01"/>
          <w:rFonts w:ascii="Minion Pro" w:eastAsiaTheme="minorHAnsi" w:hAnsi="Minion Pro" w:cstheme="minorBidi"/>
        </w:rPr>
        <w:t xml:space="preserve"> yang sah. Miskonsepsi baru terjadi ketika pemahaman anak bertentangan dengan ketentuan yang disepakati, bukan ketika praktiknya berbeda dari kebiasaan guru.</w:t>
      </w:r>
    </w:p>
    <w:p w14:paraId="13AB92F7"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Pada bidang Al-Qur'an, hadis, dan Sejarah Kebudayaan Islam, miskonsepsi paling sering muncul dalam bentuk anggapan bahwa menghafal sama dengan memahami. Boyle (2006) mengingatkan bahwa dalam tradisi Islam, hafalan merupakan fondasi bagi pemahaman. Karena itu, solusinya bukan mengurangi hafalan, melainkan memastikan bahwa hafalan diikuti tahap pemaknaan, penerapan, dan refleksi. Adapun miskonsepsi akhlak berkaitan dengan cakupan nilai: anak memahami nilai secara sempit atau hanya terikat pada situasi tertentu. Pada bidang ini, perubahan yang diperlukan menyangkut model mental tentang mengapa suatu perilaku bernilai baik, bukan sekadar pengetahuan tentang perilaku apa yang baik.</w:t>
      </w:r>
    </w:p>
    <w:p w14:paraId="3831DB22"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Faktor Penyebab Miskonsepsi</w:t>
      </w:r>
    </w:p>
    <w:p w14:paraId="6BB0732D"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Sintesis tematik menghasilkan lima kelompok faktor penyebab miskonsepsi PAI yang saling berinteraksi (Tabel 3). Temuan utamanya adalah bahwa miskonsepsi bukan semata kekurangan peserta didik, melainkan hasil pertemuan antara intuisi anak, cara materi diajarkan, dan lingkungan tempat anak memperoleh informasi keagamaan.</w:t>
      </w:r>
    </w:p>
    <w:p w14:paraId="6B3F7EA7" w14:textId="77777777" w:rsidR="00F618F2" w:rsidRDefault="00000000">
      <w:pPr>
        <w:pStyle w:val="NormalWeb"/>
        <w:spacing w:before="0" w:beforeAutospacing="0" w:after="0" w:afterAutospacing="0"/>
        <w:ind w:left="567"/>
        <w:jc w:val="center"/>
        <w:rPr>
          <w:rFonts w:ascii="Minion Pro" w:hAnsi="Minion Pro"/>
        </w:rPr>
      </w:pPr>
      <w:r>
        <w:rPr>
          <w:rFonts w:ascii="Minion Pro" w:hAnsi="Minion Pro"/>
        </w:rPr>
        <w:t>Tabel 3. Faktor Penyebab Miskonsepsi PAI dan Implikasinya bagi Guru</w:t>
      </w:r>
    </w:p>
    <w:tbl>
      <w:tblPr>
        <w:tblStyle w:val="BayanganTipis"/>
        <w:tblW w:w="0" w:type="auto"/>
        <w:tblInd w:w="675" w:type="dxa"/>
        <w:tblLook w:val="04A0" w:firstRow="1" w:lastRow="0" w:firstColumn="1" w:lastColumn="0" w:noHBand="0" w:noVBand="1"/>
      </w:tblPr>
      <w:tblGrid>
        <w:gridCol w:w="1877"/>
        <w:gridCol w:w="3400"/>
        <w:gridCol w:w="3119"/>
      </w:tblGrid>
      <w:tr w:rsidR="00F618F2" w14:paraId="7DD445D3" w14:textId="77777777" w:rsidTr="00F61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7DEACFDD" w14:textId="77777777" w:rsidR="00F618F2" w:rsidRDefault="00000000">
            <w:pPr>
              <w:pStyle w:val="NormalWeb"/>
              <w:spacing w:before="0" w:beforeAutospacing="0" w:after="0" w:afterAutospacing="0"/>
              <w:jc w:val="center"/>
              <w:rPr>
                <w:rFonts w:ascii="Minion Pro" w:hAnsi="Minion Pro"/>
              </w:rPr>
            </w:pPr>
            <w:r>
              <w:rPr>
                <w:rFonts w:ascii="Minion Pro" w:hAnsi="Minion Pro"/>
                <w:sz w:val="20"/>
                <w:szCs w:val="20"/>
              </w:rPr>
              <w:t>Faktor</w:t>
            </w:r>
          </w:p>
        </w:tc>
        <w:tc>
          <w:tcPr>
            <w:tcW w:w="3500" w:type="dxa"/>
            <w:vAlign w:val="center"/>
            <w:hideMark/>
          </w:tcPr>
          <w:p w14:paraId="34355396"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Mekanisme</w:t>
            </w:r>
          </w:p>
        </w:tc>
        <w:tc>
          <w:tcPr>
            <w:tcW w:w="3200" w:type="dxa"/>
            <w:vAlign w:val="center"/>
            <w:hideMark/>
          </w:tcPr>
          <w:p w14:paraId="7CD47688"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Implikasi bagi guru</w:t>
            </w:r>
          </w:p>
        </w:tc>
      </w:tr>
      <w:tr w:rsidR="00F618F2" w14:paraId="3CB8DEFB"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5387AAC2"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lastRenderedPageBreak/>
              <w:t>Intuisi dan pengetahuan awal peserta didik</w:t>
            </w:r>
          </w:p>
        </w:tc>
        <w:tc>
          <w:tcPr>
            <w:tcW w:w="3500" w:type="dxa"/>
            <w:vAlign w:val="center"/>
            <w:hideMark/>
          </w:tcPr>
          <w:p w14:paraId="16AEBF1A"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Anak memahami konsep baru melalui praanggapan dan pengalaman sebelumnya, sehingga dapat terbentuk model sintetis</w:t>
            </w:r>
          </w:p>
        </w:tc>
        <w:tc>
          <w:tcPr>
            <w:tcW w:w="3200" w:type="dxa"/>
            <w:vAlign w:val="center"/>
            <w:hideMark/>
          </w:tcPr>
          <w:p w14:paraId="48E60E21"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Menggali pengetahuan awal sebelum mengajarkan konsep baru</w:t>
            </w:r>
          </w:p>
        </w:tc>
      </w:tr>
      <w:tr w:rsidR="00F618F2" w14:paraId="1EC100C2" w14:textId="77777777" w:rsidTr="00F618F2">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1B4F189B"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Strategi mengajar</w:t>
            </w:r>
          </w:p>
        </w:tc>
        <w:tc>
          <w:tcPr>
            <w:tcW w:w="3500" w:type="dxa"/>
            <w:vAlign w:val="center"/>
            <w:hideMark/>
          </w:tcPr>
          <w:p w14:paraId="446FA87B"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Penjelasan abstrak, istilah sulit, contoh yang kurang tepat, dan pembelajaran yang berhenti pada hafalan</w:t>
            </w:r>
          </w:p>
        </w:tc>
        <w:tc>
          <w:tcPr>
            <w:tcW w:w="3200" w:type="dxa"/>
            <w:vAlign w:val="center"/>
            <w:hideMark/>
          </w:tcPr>
          <w:p w14:paraId="0A9F5D0A"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Memadukan hafalan dengan pemaknaan, contoh konkret, dan praktik</w:t>
            </w:r>
          </w:p>
        </w:tc>
      </w:tr>
      <w:tr w:rsidR="00F618F2" w14:paraId="2DC86E4F"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6D46C7D3"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Media dan sumber belajar</w:t>
            </w:r>
          </w:p>
        </w:tc>
        <w:tc>
          <w:tcPr>
            <w:tcW w:w="3500" w:type="dxa"/>
            <w:vAlign w:val="center"/>
            <w:hideMark/>
          </w:tcPr>
          <w:p w14:paraId="4F6CD014"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Ilustrasi, video, atau konten digital yang kurang akurat atau digunakan tanpa penjelasan</w:t>
            </w:r>
          </w:p>
        </w:tc>
        <w:tc>
          <w:tcPr>
            <w:tcW w:w="3200" w:type="dxa"/>
            <w:vAlign w:val="center"/>
            <w:hideMark/>
          </w:tcPr>
          <w:p w14:paraId="1C7774CC"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Memeriksa ketepatan isi dan kesesuaian usia sebelum digunakan</w:t>
            </w:r>
          </w:p>
        </w:tc>
      </w:tr>
      <w:tr w:rsidR="00F618F2" w14:paraId="52C2DC68" w14:textId="77777777" w:rsidTr="00F618F2">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7D3C8903"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Keluarga, TPA, dan lingkungan sosial</w:t>
            </w:r>
          </w:p>
        </w:tc>
        <w:tc>
          <w:tcPr>
            <w:tcW w:w="3500" w:type="dxa"/>
            <w:vAlign w:val="center"/>
            <w:hideMark/>
          </w:tcPr>
          <w:p w14:paraId="166140C3"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Informasi keagamaan dari berbagai sumber yang tidak selalu disertai penjelasan</w:t>
            </w:r>
          </w:p>
        </w:tc>
        <w:tc>
          <w:tcPr>
            <w:tcW w:w="3200" w:type="dxa"/>
            <w:vAlign w:val="center"/>
            <w:hideMark/>
          </w:tcPr>
          <w:p w14:paraId="2BFE384E"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Melakukan klarifikasi secara dialogis dan berkomunikasi dengan orang tua</w:t>
            </w:r>
          </w:p>
        </w:tc>
      </w:tr>
      <w:tr w:rsidR="00F618F2" w14:paraId="302E4906"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188E53FB"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Asesmen</w:t>
            </w:r>
          </w:p>
        </w:tc>
        <w:tc>
          <w:tcPr>
            <w:tcW w:w="3500" w:type="dxa"/>
            <w:vAlign w:val="center"/>
            <w:hideMark/>
          </w:tcPr>
          <w:p w14:paraId="273881A0"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Penilaian hanya mengukur jawaban akhir dan hafalan, sehingga miskonsepsi tidak terdeteksi</w:t>
            </w:r>
          </w:p>
        </w:tc>
        <w:tc>
          <w:tcPr>
            <w:tcW w:w="3200" w:type="dxa"/>
            <w:vAlign w:val="center"/>
            <w:hideMark/>
          </w:tcPr>
          <w:p w14:paraId="3DD1AEDE"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Menilai alasan dan proses berpikir melalui asesmen formatif</w:t>
            </w:r>
          </w:p>
        </w:tc>
      </w:tr>
    </w:tbl>
    <w:p w14:paraId="7AB444DE" w14:textId="77777777" w:rsidR="00F618F2" w:rsidRDefault="00000000">
      <w:pPr>
        <w:pStyle w:val="NormalWeb"/>
        <w:spacing w:before="0" w:beforeAutospacing="0" w:after="0" w:afterAutospacing="0"/>
        <w:ind w:left="567"/>
        <w:jc w:val="both"/>
        <w:rPr>
          <w:rFonts w:ascii="Minion Pro" w:hAnsi="Minion Pro"/>
        </w:rPr>
      </w:pPr>
      <w:r>
        <w:rPr>
          <w:rFonts w:ascii="Minion Pro" w:hAnsi="Minion Pro"/>
          <w:sz w:val="20"/>
        </w:rPr>
        <w:t>Sumber: sintesis penulis berdasarkan Ausubel (1968), Black &amp; Wiliam (1998), Boyle (2006), Salamat et al. (2026), Shulman (1986), dan Vosniadou (1994).</w:t>
      </w:r>
    </w:p>
    <w:p w14:paraId="70C2E2BF"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Faktor pertama berasal dari peserta didik. Anak membawa praanggapan dan pengalaman keagamaan dari rumah. Ketika informasi baru tidak sejalan dengan praanggapan tersebut, anak cenderung menggabungkan keduanya menjadi model sintetis, bukan menggantinya (Vosniadou, 1994). Ausubel (1968) menjelaskan bahwa pengetahuan awal menentukan bagaimana informasi baru dimaknai, sehingga pengetahuan awal yang keliru akan "membelokkan" materi yang benar sekalipun.</w:t>
      </w:r>
    </w:p>
    <w:p w14:paraId="7F819B04"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Faktor kedua dan ketiga berkaitan dengan proses pembelajaran. Penjelasan yang terlalu abstrak, contoh yang tidak tepat, dan media yang menyederhanakan konsep secara berlebihan dapat menjadi sumber miskonsepsi baru. Shulman (1986) menekankan bahwa guru perlu mengubah materi menjadi representasi yang tepat bagi peserta didik. Representasi yang keliru, misalnya gambar atau animasi yang secara tidak sengaja memvisualisasikan hal-hal gaib secara antropomorfis, justru dapat memperkuat intuisi yang ingin diluruskan. Selain itu, pembelajaran yang hanya berorientasi pada hafalan membuat miskonsepsi tidak pernah terungkap karena peserta didik tidak diminta menjelaskan pemahamannya.</w:t>
      </w:r>
    </w:p>
    <w:p w14:paraId="2A24DC5E"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Faktor keempat adalah lingkungan. Salamat et al. (2026) menunjukkan bahwa TPA melengkapi sekolah dasar dalam membentuk pengetahuan, keterampilan ibadah, dan sikap keagamaan anak melalui hafalan, pembiasaan, dan keteladanan. Dengan demikian, guru MI bukan satu-satunya sumber pengetahuan keagamaan anak. Perbedaan informasi dari keluarga, TPA, teman sebaya, dan media sosial perlu ditanggapi melalui dialog yang menghargai pengalaman anak dan keluarganya, bukan dengan langsung menyalahkan.</w:t>
      </w:r>
    </w:p>
    <w:p w14:paraId="6326DBFC"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Faktor kelima, yang kurang mendapat perhatian dalam naskah-naskah PAI, adalah asesmen. Black dan Wiliam (1998) menunjukkan bahwa asesmen formatif yang menggali pemikiran peserta didik dan menindaklanjutinya merupakan salah satu cara paling kuat untuk meningkatkan hasil belajar. Sebaliknya, asesmen yang hanya mengukur jawaban akhir tidak memberikan informasi tentang alasan di balik </w:t>
      </w:r>
      <w:r>
        <w:rPr>
          <w:rStyle w:val="fontstyle01"/>
          <w:rFonts w:ascii="Minion Pro" w:eastAsiaTheme="minorHAnsi" w:hAnsi="Minion Pro" w:cstheme="minorBidi"/>
        </w:rPr>
        <w:lastRenderedPageBreak/>
        <w:t>jawaban, sehingga miskonsepsi dapat bertahan tanpa terdeteksi hingga jenjang berikutnya.</w:t>
      </w:r>
    </w:p>
    <w:p w14:paraId="64D24A94"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Strategi Guru PGMI dalam Mengidentifikasi Miskonsepsi</w:t>
      </w:r>
    </w:p>
    <w:p w14:paraId="72840F84"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Literatur menunjukkan bahwa identifikasi merupakan tahap yang menentukan keberhasilan penanganan miskonsepsi. Guru perlu mengetahui apa yang dipahami peserta didik dan mengapa pemahaman itu terbentuk sebelum menentukan tindakan perbaikan (Chi &amp; Roscoe, 2002; Smith et al., 1993). Kajian ini mengidentifikasi lima strategi identifikasi yang dapat diterapkan di MI.</w:t>
      </w:r>
    </w:p>
    <w:p w14:paraId="4F542F8A" w14:textId="77777777" w:rsidR="00F618F2" w:rsidRDefault="00000000">
      <w:pPr>
        <w:pStyle w:val="NormalWeb"/>
        <w:numPr>
          <w:ilvl w:val="0"/>
          <w:numId w:val="21"/>
        </w:numPr>
        <w:spacing w:before="0" w:beforeAutospacing="0" w:after="0" w:afterAutospacing="0"/>
        <w:ind w:left="851" w:hanging="284"/>
        <w:jc w:val="both"/>
        <w:rPr>
          <w:rStyle w:val="fontstyle01"/>
          <w:rFonts w:ascii="Minion Pro" w:eastAsiaTheme="minorHAnsi" w:hAnsi="Minion Pro" w:cstheme="minorBidi"/>
        </w:rPr>
      </w:pPr>
      <w:r>
        <w:rPr>
          <w:rStyle w:val="fontstyle01"/>
          <w:rFonts w:ascii="Minion Pro" w:eastAsiaTheme="minorHAnsi" w:hAnsi="Minion Pro" w:cstheme="minorBidi"/>
        </w:rPr>
        <w:t>Pertanyaan diagnostik dan pemantik. Guru mengajukan pertanyaan terbuka sebelum materi dimulai, misalnya "Mengapa kita berwudu sebelum salat?" atau "Bagaimana Allah mengetahui apa yang kita lakukan ketika sendirian?" Pertanyaan semacam ini mengungkap gambaran yang dimiliki anak, bukan sekadar hafalannya.</w:t>
      </w:r>
    </w:p>
    <w:p w14:paraId="6BB0B33F" w14:textId="77777777" w:rsidR="00F618F2" w:rsidRDefault="00000000">
      <w:pPr>
        <w:pStyle w:val="NormalWeb"/>
        <w:numPr>
          <w:ilvl w:val="0"/>
          <w:numId w:val="21"/>
        </w:numPr>
        <w:spacing w:before="0" w:beforeAutospacing="0" w:after="0" w:afterAutospacing="0"/>
        <w:ind w:left="851" w:hanging="284"/>
        <w:jc w:val="both"/>
        <w:rPr>
          <w:rStyle w:val="fontstyle01"/>
          <w:rFonts w:ascii="Minion Pro" w:eastAsiaTheme="minorHAnsi" w:hAnsi="Minion Pro" w:cstheme="minorBidi"/>
        </w:rPr>
      </w:pPr>
      <w:r>
        <w:rPr>
          <w:rStyle w:val="fontstyle01"/>
          <w:rFonts w:ascii="Minion Pro" w:eastAsiaTheme="minorHAnsi" w:hAnsi="Minion Pro" w:cstheme="minorBidi"/>
        </w:rPr>
        <w:t>Meminta alasan. Dua peserta didik dapat memberikan jawaban yang sama dengan pemahaman yang berbeda. Meminta peserta didik menjelaskan "mengapa" membantu guru membedakan pemahaman yang tepat dari jawaban yang hanya berdasarkan hafalan atau tebakan.</w:t>
      </w:r>
    </w:p>
    <w:p w14:paraId="74D96A39" w14:textId="77777777" w:rsidR="00F618F2" w:rsidRDefault="00000000">
      <w:pPr>
        <w:pStyle w:val="NormalWeb"/>
        <w:numPr>
          <w:ilvl w:val="0"/>
          <w:numId w:val="21"/>
        </w:numPr>
        <w:spacing w:before="0" w:beforeAutospacing="0" w:after="0" w:afterAutospacing="0"/>
        <w:ind w:left="851" w:hanging="284"/>
        <w:jc w:val="both"/>
        <w:rPr>
          <w:rStyle w:val="fontstyle01"/>
          <w:rFonts w:ascii="Minion Pro" w:eastAsiaTheme="minorHAnsi" w:hAnsi="Minion Pro" w:cstheme="minorBidi"/>
        </w:rPr>
      </w:pPr>
      <w:r>
        <w:rPr>
          <w:rStyle w:val="fontstyle01"/>
          <w:rFonts w:ascii="Minion Pro" w:eastAsiaTheme="minorHAnsi" w:hAnsi="Minion Pro" w:cstheme="minorBidi"/>
        </w:rPr>
        <w:t>Tes diagnostik dua tingkat. Treagust (1988) mengembangkan tes yang terdiri atas pertanyaan isi pada tingkat pertama dan pilihan alasan pada tingkat kedua. Pilihan alasan disusun dari miskonsepsi yang ditemukan melalui wawancara. Kaltakci Gurel et al. (2015) menyimpulkan bahwa setiap instrumen, baik wawancara, tes terbuka, maupun tes bertingkat, memiliki kelebihan dan kekurangan, sehingga pemilihannya bergantung pada tujuan. Format dua tingkat dapat diadaptasi untuk PAI. Sebagai contoh, pada tingkat pertama peserta didik ditanya "Apakah Allah mengetahui perbuatan kita ketika kita sendirian di kamar?" Pada tingkat kedua, mereka memilih alasan: (a) ya, karena malaikat melaporkannya kepada Allah; (b) ya, karena Allah Maha Mengetahui segala sesuatu tanpa memerlukan perantara; atau (c) tidak, karena Allah tidak melihat ke dalam rumah. Pilihan (a) memberikan jawaban tingkat pertama yang benar, tetapi alasannya menunjukkan konsep antropomorfis sebagaimana dilaporkan Barrett dan Keil (1996).</w:t>
      </w:r>
    </w:p>
    <w:p w14:paraId="53CD141A" w14:textId="77777777" w:rsidR="00F618F2" w:rsidRDefault="00000000">
      <w:pPr>
        <w:pStyle w:val="NormalWeb"/>
        <w:numPr>
          <w:ilvl w:val="0"/>
          <w:numId w:val="21"/>
        </w:numPr>
        <w:spacing w:before="0" w:beforeAutospacing="0" w:after="0" w:afterAutospacing="0"/>
        <w:ind w:left="851" w:hanging="284"/>
        <w:jc w:val="both"/>
        <w:rPr>
          <w:rStyle w:val="fontstyle01"/>
          <w:rFonts w:ascii="Minion Pro" w:eastAsiaTheme="minorHAnsi" w:hAnsi="Minion Pro" w:cstheme="minorBidi"/>
        </w:rPr>
      </w:pPr>
      <w:r>
        <w:rPr>
          <w:rStyle w:val="fontstyle01"/>
          <w:rFonts w:ascii="Minion Pro" w:eastAsiaTheme="minorHAnsi" w:hAnsi="Minion Pro" w:cstheme="minorBidi"/>
        </w:rPr>
        <w:t>Observasi praktik dan percakapan. Pada materi ibadah, guru mengamati praktik peserta didik sambil menanyakan alasan setiap langkah. Melalui cara ini, guru dapat membedakan kesalahan karena lupa atau kurang latihan dari kesalahan karena pemahaman yang keliru.</w:t>
      </w:r>
    </w:p>
    <w:p w14:paraId="7D890BF9" w14:textId="77777777" w:rsidR="00F618F2" w:rsidRDefault="00000000">
      <w:pPr>
        <w:pStyle w:val="NormalWeb"/>
        <w:numPr>
          <w:ilvl w:val="0"/>
          <w:numId w:val="21"/>
        </w:numPr>
        <w:spacing w:before="0" w:beforeAutospacing="0" w:after="0" w:afterAutospacing="0"/>
        <w:ind w:left="851" w:hanging="284"/>
        <w:jc w:val="both"/>
        <w:rPr>
          <w:rStyle w:val="fontstyle01"/>
          <w:rFonts w:ascii="Minion Pro" w:eastAsiaTheme="minorHAnsi" w:hAnsi="Minion Pro" w:cstheme="minorBidi"/>
        </w:rPr>
      </w:pPr>
      <w:r>
        <w:rPr>
          <w:rStyle w:val="fontstyle01"/>
          <w:rFonts w:ascii="Minion Pro" w:eastAsiaTheme="minorHAnsi" w:hAnsi="Minion Pro" w:cstheme="minorBidi"/>
        </w:rPr>
        <w:t>Asesmen formatif berkelanjutan. Kuis singkat, tugas menjelaskan dengan kata-kata sendiri, dan lembar kerja berbasis kasus digunakan selama proses pembelajaran sebagai umpan balik, bukan hanya pada akhir semester (Black &amp; Wiliam, 1998).</w:t>
      </w:r>
    </w:p>
    <w:p w14:paraId="0D9D4A31"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Kelima strategi tersebut menuntut guru memandang jawaban keliru sebagai data pembelajaran, bukan sebagai kegagalan peserta didik. Hasil identifikasi juga tidak boleh digunakan untuk memberi label kepada anak, melainkan untuk menentukan materi penguatan dan bentuk pendampingan yang diperlukan.</w:t>
      </w:r>
    </w:p>
    <w:p w14:paraId="663401A8"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lastRenderedPageBreak/>
        <w:t>Strategi Guru PGMI dalam Memperbaiki Miskonsepsi</w:t>
      </w:r>
    </w:p>
    <w:p w14:paraId="74306B49"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Sintesis literatur menghasilkan enam strategi perbaikan (Tabel 4). Strategi-strategi ini tidak berdiri sendiri, tetapi dipilih sesuai dengan jenis perubahan konseptual yang diperlukan (Tabel 2).</w:t>
      </w:r>
    </w:p>
    <w:p w14:paraId="0090C6E2"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Membangun ketidakpuasan konseptual secara santun</w:t>
      </w:r>
    </w:p>
    <w:p w14:paraId="4D2A8D37"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Syarat pertama perubahan konseptual adalah kesadaran peserta didik bahwa pemahamannya belum memadai (Posner et al., 1982). Guru dapat membangun kesadaran ini melalui pertanyaan pembanding, misalnya "Kalau jujur hanya diperlukan ketika ada guru, bagaimana dengan Allah yang selalu mengetahui?" Konsep yang benar kemudian disajikan dengan bahasa yang dapat dimengerti anak, didukung dalil yang disederhanakan sesuai usia, dan segera diterapkan pada situasi lain agar terasa bermanfaat. Dalam PAI, rujukan pada sumber ajaran merupakan bagian dari unsur "masuk akal" dalam rumusan Posner et al. (1982), karena kebenaran konsep keagamaan bertumpu pada sumber normatif.</w:t>
      </w:r>
    </w:p>
    <w:p w14:paraId="74784AE6"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Menggunakan cerita sanggahan</w:t>
      </w:r>
    </w:p>
    <w:p w14:paraId="45DE4FA4"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Tippett (2010), dalam tinjauannya terhadap dua dekade penelitian, menemukan bahwa teks sanggahan (</w:t>
      </w:r>
      <w:r>
        <w:rPr>
          <w:rStyle w:val="fontstyle01"/>
          <w:rFonts w:ascii="Minion Pro" w:eastAsiaTheme="minorHAnsi" w:hAnsi="Minion Pro" w:cstheme="minorBidi"/>
          <w:i/>
        </w:rPr>
        <w:t>refutation text</w:t>
      </w:r>
      <w:r>
        <w:rPr>
          <w:rStyle w:val="fontstyle01"/>
          <w:rFonts w:ascii="Minion Pro" w:eastAsiaTheme="minorHAnsi" w:hAnsi="Minion Pro" w:cstheme="minorBidi"/>
        </w:rPr>
        <w:t xml:space="preserve">) umumnya lebih efektif daripada teks penjelasan biasa dalam memperbaiki miskonsepsi sains. Teks sanggahan menyebutkan miskonsepsi secara eksplisit, menyatakan bahwa miskonsepsi itu keliru, lalu menjelaskan konsep yang benar. Prinsip ini dapat diadaptasi menjadi cerita sanggahan dalam PAI. Misalnya, tokoh cerita mengira Allah hanya mengetahui perbuatan yang dilaporkan malaikat, lalu tokoh lain menjelaskan sifat </w:t>
      </w:r>
      <w:r>
        <w:rPr>
          <w:rStyle w:val="fontstyle01"/>
          <w:rFonts w:ascii="Minion Pro" w:eastAsiaTheme="minorHAnsi" w:hAnsi="Minion Pro" w:cstheme="minorBidi"/>
          <w:i/>
        </w:rPr>
        <w:t>al-'Alim</w:t>
      </w:r>
      <w:r>
        <w:rPr>
          <w:rStyle w:val="fontstyle01"/>
          <w:rFonts w:ascii="Minion Pro" w:eastAsiaTheme="minorHAnsi" w:hAnsi="Minion Pro" w:cstheme="minorBidi"/>
        </w:rPr>
        <w:t xml:space="preserve"> dengan contoh yang dekat dengan kehidupan anak. Strategi ini cocok untuk miskonsepsi kategorial di bidang akidah, tetapi efektivitasnya dalam PAI masih perlu diuji.</w:t>
      </w:r>
    </w:p>
    <w:p w14:paraId="7CA22A9B"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Mengaitkan materi dengan pengetahuan awal dan konteks nyata</w:t>
      </w:r>
    </w:p>
    <w:p w14:paraId="744968F4"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Pembelajaran perlu dimulai dari pengalaman anak, misalnya pengalaman berbagi makanan sebelum materi sedekah atau pengalaman menemukan barang milik teman sebelum materi kejujuran. Pendekatan ini sejalan dengan teori belajar bermakna yang telah dikaji dalam konteks PAI (Muamanah &amp; Suyadi, 2020) dan dengan rekomendasi untuk menyesuaikan PAI di sekolah dasar dengan tahap operasional konkret (Busri et al., 2026; Ma'rifah &amp; Asroni, 2024). Jannah et al. (2024) melaporkan bahwa pembelajaran kontekstual melalui permainan edukatif merupakan salah satu strategi yang digunakan guru untuk mengatasi miskonsepsi PAI di kelas II. Meskipun demikian, guru perlu memastikan bahwa contoh kontekstual tidak menggantikan penjelasan yang bersumber dari ajaran Islam.</w:t>
      </w:r>
    </w:p>
    <w:p w14:paraId="3F4C412A"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Demonstrasi, praktik, dan umpan balik</w:t>
      </w:r>
    </w:p>
    <w:p w14:paraId="6B6CD115"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Untuk materi ibadah, guru memperagakan langkah yang benar, meminta peserta didik mencoba, lalu memberikan umpan balik. Hattie dan Timperley (2007) menunjukkan bahwa umpan balik paling efektif ketika menjawab tiga pertanyaan, yaitu ke mana tujuan belajar, sejauh mana capaian saat ini, dan apa langkah berikutnya. Umpan balik juga lebih efektif ketika diarahkan pada tugas dan proses, bukan pada pribadi peserta didik. Dalam praktik wudu, misalnya, umpan balik "Basuhan tanganmu sudah sampai siku, sekarang periksa apakah seluruh bagiannya sudah terbasuh" lebih membantu daripada "Kamu anak pintar". Demonstrasi juga </w:t>
      </w:r>
      <w:r>
        <w:rPr>
          <w:rStyle w:val="fontstyle01"/>
          <w:rFonts w:ascii="Minion Pro" w:eastAsiaTheme="minorHAnsi" w:hAnsi="Minion Pro" w:cstheme="minorBidi"/>
        </w:rPr>
        <w:lastRenderedPageBreak/>
        <w:t>perlu disertai penjelasan makna dan alasan setiap langkah agar anak tidak sekadar meniru gerakan.</w:t>
      </w:r>
    </w:p>
    <w:p w14:paraId="489DF0E3"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Dialog reflektif dan diskusi terarah</w:t>
      </w:r>
    </w:p>
    <w:p w14:paraId="6E2F21C8"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Vygotsky (1978) menekankan bahwa pemahaman berkembang melalui interaksi dengan guru dan teman sebaya, dan Ariansyah (2023) menunjukkan relevansi pandangan ini bagi pembelajaran PAI di Indonesia. Pendekatan dialogis juga didukung oleh kritik Sahin (2018) dan Agbaria (2024) terhadap pendidikan agama yang hanya bersifat transmisi. Dalam kelas MI, dialog dapat berupa diskusi kasus sederhana, bermain peran, atau pertanyaan "bagaimana jika" yang mendorong peserta didik memeriksa ulang pemahamannya. Agar dialog berjalan, guru perlu menciptakan suasana yang aman, yaitu suasana ketika menyampaikan jawaban yang belum tepat dipandang sebagai bagian wajar dari belajar.</w:t>
      </w:r>
    </w:p>
    <w:p w14:paraId="212FF663" w14:textId="77777777" w:rsidR="00F618F2" w:rsidRDefault="00000000">
      <w:pPr>
        <w:pStyle w:val="Judul3"/>
        <w:numPr>
          <w:ilvl w:val="4"/>
          <w:numId w:val="1"/>
        </w:numPr>
        <w:spacing w:before="0" w:beforeAutospacing="0" w:after="0" w:afterAutospacing="0"/>
        <w:ind w:left="851" w:hanging="284"/>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Media yang akurat dan kolaborasi dengan keluarga</w:t>
      </w:r>
    </w:p>
    <w:p w14:paraId="480BE9D7"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Media visual, video, dan cerita bergambar dapat membantu anak mengorganisasi informasi, misalnya garis waktu dalam Sejarah Kebudayaan Islam. Jannah et al. (2024) melaporkan penggunaan media audiovisual dan cerita berbantuan media digital dalam pembelajaran PAI di kelas II. Namun, media harus diperiksa keakuratan isinya terlebih dahulu, terutama ketika menyangkut hal-hal gaib. Mengingat sebagian pengetahuan keagamaan anak terbentuk di rumah dan di TPA (Salamat et al., 2026), guru juga perlu berkomunikasi dengan orang tua dan pengajar TPA agar penjelasan yang diterima anak saling menguatkan.</w:t>
      </w:r>
    </w:p>
    <w:p w14:paraId="0C16A796" w14:textId="77777777" w:rsidR="00F618F2" w:rsidRDefault="00000000">
      <w:pPr>
        <w:pStyle w:val="NormalWeb"/>
        <w:spacing w:before="0" w:beforeAutospacing="0" w:after="0" w:afterAutospacing="0"/>
        <w:ind w:left="567"/>
        <w:jc w:val="center"/>
        <w:rPr>
          <w:rFonts w:ascii="Minion Pro" w:hAnsi="Minion Pro"/>
        </w:rPr>
      </w:pPr>
      <w:r>
        <w:rPr>
          <w:rFonts w:ascii="Minion Pro" w:hAnsi="Minion Pro"/>
        </w:rPr>
        <w:t>Tabel 4. Strategi Guru PGMI untuk Memperbaiki Miskonsepsi PAI</w:t>
      </w:r>
    </w:p>
    <w:tbl>
      <w:tblPr>
        <w:tblStyle w:val="BayanganTipis"/>
        <w:tblW w:w="0" w:type="auto"/>
        <w:tblInd w:w="675" w:type="dxa"/>
        <w:tblLook w:val="04A0" w:firstRow="1" w:lastRow="0" w:firstColumn="1" w:lastColumn="0" w:noHBand="0" w:noVBand="1"/>
      </w:tblPr>
      <w:tblGrid>
        <w:gridCol w:w="1881"/>
        <w:gridCol w:w="2433"/>
        <w:gridCol w:w="2422"/>
        <w:gridCol w:w="1660"/>
      </w:tblGrid>
      <w:tr w:rsidR="00F618F2" w14:paraId="0D558E3B" w14:textId="77777777" w:rsidTr="00F61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5C27EE19" w14:textId="77777777" w:rsidR="00F618F2" w:rsidRDefault="00000000">
            <w:pPr>
              <w:pStyle w:val="NormalWeb"/>
              <w:spacing w:before="0" w:beforeAutospacing="0" w:after="0" w:afterAutospacing="0"/>
              <w:jc w:val="center"/>
              <w:rPr>
                <w:rFonts w:ascii="Minion Pro" w:hAnsi="Minion Pro"/>
              </w:rPr>
            </w:pPr>
            <w:r>
              <w:rPr>
                <w:rFonts w:ascii="Minion Pro" w:hAnsi="Minion Pro"/>
                <w:sz w:val="20"/>
                <w:szCs w:val="20"/>
              </w:rPr>
              <w:t>Strategi</w:t>
            </w:r>
          </w:p>
        </w:tc>
        <w:tc>
          <w:tcPr>
            <w:tcW w:w="2500" w:type="dxa"/>
            <w:vAlign w:val="center"/>
            <w:hideMark/>
          </w:tcPr>
          <w:p w14:paraId="02E60F4D"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Contoh pada pembelajaran PAI</w:t>
            </w:r>
          </w:p>
        </w:tc>
        <w:tc>
          <w:tcPr>
            <w:tcW w:w="2500" w:type="dxa"/>
            <w:vAlign w:val="center"/>
            <w:hideMark/>
          </w:tcPr>
          <w:p w14:paraId="4EE5A4C2"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Indikator perbaikan</w:t>
            </w:r>
          </w:p>
        </w:tc>
        <w:tc>
          <w:tcPr>
            <w:tcW w:w="1700" w:type="dxa"/>
            <w:vAlign w:val="center"/>
            <w:hideMark/>
          </w:tcPr>
          <w:p w14:paraId="5AEE91A0"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Dasar teoretis</w:t>
            </w:r>
          </w:p>
        </w:tc>
      </w:tr>
      <w:tr w:rsidR="00F618F2" w14:paraId="6DD0001C"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263E1E83"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Ketidakpuasan konseptual</w:t>
            </w:r>
          </w:p>
        </w:tc>
        <w:tc>
          <w:tcPr>
            <w:tcW w:w="2500" w:type="dxa"/>
            <w:vAlign w:val="center"/>
            <w:hideMark/>
          </w:tcPr>
          <w:p w14:paraId="38256075"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Pertanyaan pembanding tentang kejujuran ketika tidak diawasi</w:t>
            </w:r>
          </w:p>
        </w:tc>
        <w:tc>
          <w:tcPr>
            <w:tcW w:w="2500" w:type="dxa"/>
            <w:vAlign w:val="center"/>
            <w:hideMark/>
          </w:tcPr>
          <w:p w14:paraId="0CF22C51"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Peserta didik menyadari keterbatasan pemahaman awalnya</w:t>
            </w:r>
          </w:p>
        </w:tc>
        <w:tc>
          <w:tcPr>
            <w:tcW w:w="1700" w:type="dxa"/>
            <w:vAlign w:val="center"/>
            <w:hideMark/>
          </w:tcPr>
          <w:p w14:paraId="419AE1AA"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Posner et al. (1982)</w:t>
            </w:r>
          </w:p>
        </w:tc>
      </w:tr>
      <w:tr w:rsidR="00F618F2" w14:paraId="42E0CFA3" w14:textId="77777777" w:rsidTr="00F618F2">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5FA12BB4"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Cerita sanggahan</w:t>
            </w:r>
          </w:p>
        </w:tc>
        <w:tc>
          <w:tcPr>
            <w:tcW w:w="2500" w:type="dxa"/>
            <w:vAlign w:val="center"/>
            <w:hideMark/>
          </w:tcPr>
          <w:p w14:paraId="45168A35"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Cerita tentang sifat al-'Alim yang menyanggah anggapan "Allah perlu laporan"</w:t>
            </w:r>
          </w:p>
        </w:tc>
        <w:tc>
          <w:tcPr>
            <w:tcW w:w="2500" w:type="dxa"/>
            <w:vAlign w:val="center"/>
            <w:hideMark/>
          </w:tcPr>
          <w:p w14:paraId="0CC0E9B9"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Peserta didik menjelaskan sifat Allah tanpa analogi makhluk</w:t>
            </w:r>
          </w:p>
        </w:tc>
        <w:tc>
          <w:tcPr>
            <w:tcW w:w="1700" w:type="dxa"/>
            <w:vAlign w:val="center"/>
            <w:hideMark/>
          </w:tcPr>
          <w:p w14:paraId="5FD32935"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Tippett (2010); Chi (2008)</w:t>
            </w:r>
          </w:p>
        </w:tc>
      </w:tr>
      <w:tr w:rsidR="00F618F2" w14:paraId="212F82B5"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458A83F2"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Pembelajaran kontekstual</w:t>
            </w:r>
          </w:p>
        </w:tc>
        <w:tc>
          <w:tcPr>
            <w:tcW w:w="2500" w:type="dxa"/>
            <w:vAlign w:val="center"/>
            <w:hideMark/>
          </w:tcPr>
          <w:p w14:paraId="6DF4ABAF"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Membahas pengalaman berbagi sebelum materi sedekah</w:t>
            </w:r>
          </w:p>
        </w:tc>
        <w:tc>
          <w:tcPr>
            <w:tcW w:w="2500" w:type="dxa"/>
            <w:vAlign w:val="center"/>
            <w:hideMark/>
          </w:tcPr>
          <w:p w14:paraId="5E6B516F"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Peserta didik menerapkan konsep pada situasi sehari-hari</w:t>
            </w:r>
          </w:p>
        </w:tc>
        <w:tc>
          <w:tcPr>
            <w:tcW w:w="1700" w:type="dxa"/>
            <w:vAlign w:val="center"/>
            <w:hideMark/>
          </w:tcPr>
          <w:p w14:paraId="561FE8B6"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Ausubel (1968); Jannah et al. (2024)</w:t>
            </w:r>
          </w:p>
        </w:tc>
      </w:tr>
      <w:tr w:rsidR="00F618F2" w14:paraId="3AB86C6C" w14:textId="77777777" w:rsidTr="00F618F2">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36B62582"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Demonstrasi dan umpan balik</w:t>
            </w:r>
          </w:p>
        </w:tc>
        <w:tc>
          <w:tcPr>
            <w:tcW w:w="2500" w:type="dxa"/>
            <w:vAlign w:val="center"/>
            <w:hideMark/>
          </w:tcPr>
          <w:p w14:paraId="04C9B835"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Praktik wudu dengan umpan balik pada tugas dan proses</w:t>
            </w:r>
          </w:p>
        </w:tc>
        <w:tc>
          <w:tcPr>
            <w:tcW w:w="2500" w:type="dxa"/>
            <w:vAlign w:val="center"/>
            <w:hideMark/>
          </w:tcPr>
          <w:p w14:paraId="49AC83C6"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Praktik sesuai ketentuan dan peserta didik dapat menjelaskan alasannya</w:t>
            </w:r>
          </w:p>
        </w:tc>
        <w:tc>
          <w:tcPr>
            <w:tcW w:w="1700" w:type="dxa"/>
            <w:vAlign w:val="center"/>
            <w:hideMark/>
          </w:tcPr>
          <w:p w14:paraId="7A481772"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Hattie &amp; Timperley (2007)</w:t>
            </w:r>
          </w:p>
        </w:tc>
      </w:tr>
      <w:tr w:rsidR="00F618F2" w14:paraId="067673E4"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50243663"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Dialog reflektif</w:t>
            </w:r>
          </w:p>
        </w:tc>
        <w:tc>
          <w:tcPr>
            <w:tcW w:w="2500" w:type="dxa"/>
            <w:vAlign w:val="center"/>
            <w:hideMark/>
          </w:tcPr>
          <w:p w14:paraId="184754ED"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Diskusi kasus dan bermain peran tentang menolong teman</w:t>
            </w:r>
          </w:p>
        </w:tc>
        <w:tc>
          <w:tcPr>
            <w:tcW w:w="2500" w:type="dxa"/>
            <w:vAlign w:val="center"/>
            <w:hideMark/>
          </w:tcPr>
          <w:p w14:paraId="0391BD3A"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Peserta didik memberikan alasan yang relevan dan menghargai pendapat lain</w:t>
            </w:r>
          </w:p>
        </w:tc>
        <w:tc>
          <w:tcPr>
            <w:tcW w:w="1700" w:type="dxa"/>
            <w:vAlign w:val="center"/>
            <w:hideMark/>
          </w:tcPr>
          <w:p w14:paraId="0915053C"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Vygotsky (1978); Sahin (2018)</w:t>
            </w:r>
          </w:p>
        </w:tc>
      </w:tr>
      <w:tr w:rsidR="00F618F2" w14:paraId="659FC9C5" w14:textId="77777777" w:rsidTr="00F618F2">
        <w:tc>
          <w:tcPr>
            <w:cnfStyle w:val="001000000000" w:firstRow="0" w:lastRow="0" w:firstColumn="1" w:lastColumn="0" w:oddVBand="0" w:evenVBand="0" w:oddHBand="0" w:evenHBand="0" w:firstRowFirstColumn="0" w:firstRowLastColumn="0" w:lastRowFirstColumn="0" w:lastRowLastColumn="0"/>
            <w:tcW w:w="1900" w:type="dxa"/>
            <w:vAlign w:val="center"/>
            <w:hideMark/>
          </w:tcPr>
          <w:p w14:paraId="0948A1F0"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Media akurat dan kolaborasi keluarga</w:t>
            </w:r>
          </w:p>
        </w:tc>
        <w:tc>
          <w:tcPr>
            <w:tcW w:w="2500" w:type="dxa"/>
            <w:vAlign w:val="center"/>
            <w:hideMark/>
          </w:tcPr>
          <w:p w14:paraId="427918D4"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Garis waktu SKI; komunikasi dengan orang tua dan TPA</w:t>
            </w:r>
          </w:p>
        </w:tc>
        <w:tc>
          <w:tcPr>
            <w:tcW w:w="2500" w:type="dxa"/>
            <w:vAlign w:val="center"/>
            <w:hideMark/>
          </w:tcPr>
          <w:p w14:paraId="3ABA5009"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Penjelasan di sekolah dan di rumah saling menguatkan</w:t>
            </w:r>
          </w:p>
        </w:tc>
        <w:tc>
          <w:tcPr>
            <w:tcW w:w="1700" w:type="dxa"/>
            <w:vAlign w:val="center"/>
            <w:hideMark/>
          </w:tcPr>
          <w:p w14:paraId="189D4D00"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Salamat et al. (2026)</w:t>
            </w:r>
          </w:p>
        </w:tc>
      </w:tr>
    </w:tbl>
    <w:p w14:paraId="3E0C836D" w14:textId="77777777" w:rsidR="00F618F2" w:rsidRDefault="00000000">
      <w:pPr>
        <w:pStyle w:val="NormalWeb"/>
        <w:spacing w:before="0" w:beforeAutospacing="0" w:after="0" w:afterAutospacing="0"/>
        <w:ind w:left="567"/>
        <w:jc w:val="both"/>
        <w:rPr>
          <w:rFonts w:ascii="Minion Pro" w:hAnsi="Minion Pro"/>
        </w:rPr>
      </w:pPr>
      <w:r>
        <w:rPr>
          <w:rFonts w:ascii="Minion Pro" w:hAnsi="Minion Pro"/>
          <w:sz w:val="20"/>
        </w:rPr>
        <w:t>Sumber: sintesis penulis.</w:t>
      </w:r>
    </w:p>
    <w:p w14:paraId="011AC5EB"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Kompetensi Guru PGMI dalam Mengatasi Miskonsepsi</w:t>
      </w:r>
    </w:p>
    <w:p w14:paraId="7B276943"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Keberhasilan strategi-strategi di atas bergantung pada kompetensi guru. Temuan Sadler et al. (2013) memberikan dasar empiris yang kuat: pada butir soal </w:t>
      </w:r>
      <w:r>
        <w:rPr>
          <w:rStyle w:val="fontstyle01"/>
          <w:rFonts w:ascii="Minion Pro" w:eastAsiaTheme="minorHAnsi" w:hAnsi="Minion Pro" w:cstheme="minorBidi"/>
        </w:rPr>
        <w:lastRenderedPageBreak/>
        <w:t>yang memiliki miskonsepsi kuat, peserta didik memperoleh kenaikan hasil belajar lebih besar ketika guru mereka mampu mengenali miskonsepsi tersebut, dibandingkan ketika guru hanya menguasai jawaban yang benar. Walaupun penelitian ini dilakukan dalam pembelajaran sains, prinsipnya relevan bagi PAI. Guru yang mengetahui miskonsepsi apa yang biasa muncul akan lebih siap merancang pertanyaan diagnostik dan penjelasan alternatif. Pengetahuan ini merupakan inti PCK (Depaepe et al., 2013; Shulman, 1986).</w:t>
      </w:r>
    </w:p>
    <w:p w14:paraId="31FE2594"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 xml:space="preserve">Dalam kerangka kompetensi guru di Indonesia, penanganan miskonsepsi melibatkan keempat kompetensi. Kompetensi pedagogik diperlukan untuk mendiagnosis dan memilih strategi. Kompetensi profesional diperlukan untuk menguasai materi PAI beserta sumbernya, termasuk membedakan miskonsepsi dari </w:t>
      </w:r>
      <w:r>
        <w:rPr>
          <w:rStyle w:val="fontstyle01"/>
          <w:rFonts w:ascii="Minion Pro" w:eastAsiaTheme="minorHAnsi" w:hAnsi="Minion Pro" w:cstheme="minorBidi"/>
          <w:i/>
        </w:rPr>
        <w:t>khilafiyah</w:t>
      </w:r>
      <w:r>
        <w:rPr>
          <w:rStyle w:val="fontstyle01"/>
          <w:rFonts w:ascii="Minion Pro" w:eastAsiaTheme="minorHAnsi" w:hAnsi="Minion Pro" w:cstheme="minorBidi"/>
        </w:rPr>
        <w:t>. Kompetensi sosial diperlukan untuk berkomunikasi secara santun dengan peserta didik dan orang tua. Kompetensi kepribadian diperlukan untuk menjadi teladan, karena pada bidang akhlak perilaku guru turut membentuk konsep anak (Daradjat, 2011).</w:t>
      </w:r>
    </w:p>
    <w:p w14:paraId="7DF475E7"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Bagi program studi PGMI, temuan ini mengisyaratkan perlunya pembelajaran yang mengaitkan teori dengan praktik (Darling-Hammond, 2006). Kegiatan yang dapat dikembangkan antara lain analisis jawaban peserta didik yang sebenarnya, penyusunan tes diagnostik dua tingkat untuk materi PAI, simulasi dialog perbaikan konsep, dan refleksi atas pengalaman praktik lapangan. Dengan cara ini, kemampuan mengatasi miskonsepsi menjadi bagian terencana dari pembentukan profesionalitas guru, bukan keterampilan yang diharapkan muncul dengan sendirinya.</w:t>
      </w:r>
    </w:p>
    <w:p w14:paraId="265C28A3"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Model Sintesis Penanganan Miskonsepsi PAI</w:t>
      </w:r>
    </w:p>
    <w:p w14:paraId="388FC9A9"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Berdasarkan sintesis di atas, kajian ini merumuskan model enam tahap penanganan miskonsepsi PAI (Tabel 5). Model ini bersifat siklis: apabila evaluasi menunjukkan bahwa miskonsepsi masih bertahan, guru kembali ke tahap analisis penyebab dan menyesuaikan strategi.</w:t>
      </w:r>
    </w:p>
    <w:p w14:paraId="7F382711" w14:textId="77777777" w:rsidR="00F618F2" w:rsidRDefault="00000000">
      <w:pPr>
        <w:pStyle w:val="NormalWeb"/>
        <w:spacing w:before="0" w:beforeAutospacing="0" w:after="0" w:afterAutospacing="0"/>
        <w:ind w:left="567"/>
        <w:jc w:val="center"/>
        <w:rPr>
          <w:rFonts w:ascii="Minion Pro" w:hAnsi="Minion Pro"/>
        </w:rPr>
      </w:pPr>
      <w:r>
        <w:rPr>
          <w:rFonts w:ascii="Minion Pro" w:hAnsi="Minion Pro"/>
        </w:rPr>
        <w:t>Tabel 5. Model Enam Tahap Penanganan Miskonsepsi PAI bagi Guru PGMI</w:t>
      </w:r>
    </w:p>
    <w:tbl>
      <w:tblPr>
        <w:tblStyle w:val="BayanganTipis"/>
        <w:tblW w:w="0" w:type="auto"/>
        <w:tblInd w:w="675" w:type="dxa"/>
        <w:tblLook w:val="04A0" w:firstRow="1" w:lastRow="0" w:firstColumn="1" w:lastColumn="0" w:noHBand="0" w:noVBand="1"/>
      </w:tblPr>
      <w:tblGrid>
        <w:gridCol w:w="1687"/>
        <w:gridCol w:w="2897"/>
        <w:gridCol w:w="2245"/>
        <w:gridCol w:w="1567"/>
      </w:tblGrid>
      <w:tr w:rsidR="00F618F2" w14:paraId="29D5E5B2" w14:textId="77777777" w:rsidTr="00F61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283FACBD" w14:textId="77777777" w:rsidR="00F618F2" w:rsidRDefault="00000000">
            <w:pPr>
              <w:pStyle w:val="NormalWeb"/>
              <w:spacing w:before="0" w:beforeAutospacing="0" w:after="0" w:afterAutospacing="0"/>
              <w:jc w:val="center"/>
              <w:rPr>
                <w:rFonts w:ascii="Minion Pro" w:hAnsi="Minion Pro"/>
              </w:rPr>
            </w:pPr>
            <w:r>
              <w:rPr>
                <w:rFonts w:ascii="Minion Pro" w:hAnsi="Minion Pro"/>
                <w:sz w:val="20"/>
                <w:szCs w:val="20"/>
              </w:rPr>
              <w:t>Tahap</w:t>
            </w:r>
          </w:p>
        </w:tc>
        <w:tc>
          <w:tcPr>
            <w:tcW w:w="3000" w:type="dxa"/>
            <w:vAlign w:val="center"/>
            <w:hideMark/>
          </w:tcPr>
          <w:p w14:paraId="2DD2A85A"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Kegiatan guru</w:t>
            </w:r>
          </w:p>
        </w:tc>
        <w:tc>
          <w:tcPr>
            <w:tcW w:w="2300" w:type="dxa"/>
            <w:vAlign w:val="center"/>
            <w:hideMark/>
          </w:tcPr>
          <w:p w14:paraId="0591486F"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Contoh PAI</w:t>
            </w:r>
          </w:p>
        </w:tc>
        <w:tc>
          <w:tcPr>
            <w:tcW w:w="1600" w:type="dxa"/>
            <w:vAlign w:val="center"/>
            <w:hideMark/>
          </w:tcPr>
          <w:p w14:paraId="31948598" w14:textId="77777777" w:rsidR="00F618F2" w:rsidRDefault="0000000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Dasar literatur</w:t>
            </w:r>
          </w:p>
        </w:tc>
      </w:tr>
      <w:tr w:rsidR="00F618F2" w14:paraId="617BD133"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0DD9B077"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1. Identifikasi</w:t>
            </w:r>
          </w:p>
        </w:tc>
        <w:tc>
          <w:tcPr>
            <w:tcW w:w="3000" w:type="dxa"/>
            <w:vAlign w:val="center"/>
            <w:hideMark/>
          </w:tcPr>
          <w:p w14:paraId="73536DB0"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Menggali pengetahuan awal dan alasan peserta didik melalui pertanyaan, observasi, dan tes diagnostik</w:t>
            </w:r>
          </w:p>
        </w:tc>
        <w:tc>
          <w:tcPr>
            <w:tcW w:w="2300" w:type="dxa"/>
            <w:vAlign w:val="center"/>
            <w:hideMark/>
          </w:tcPr>
          <w:p w14:paraId="62A3FC6F"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Tes dua tingkat tentang sifat al-'Alim</w:t>
            </w:r>
          </w:p>
        </w:tc>
        <w:tc>
          <w:tcPr>
            <w:tcW w:w="1600" w:type="dxa"/>
            <w:vAlign w:val="center"/>
            <w:hideMark/>
          </w:tcPr>
          <w:p w14:paraId="48182622"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Treagust (1988); Kaltakci Gurel et al. (2015)</w:t>
            </w:r>
          </w:p>
        </w:tc>
      </w:tr>
      <w:tr w:rsidR="00F618F2" w14:paraId="430C3221" w14:textId="77777777" w:rsidTr="00F618F2">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66156C1D"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2. Analisis penyebab</w:t>
            </w:r>
          </w:p>
        </w:tc>
        <w:tc>
          <w:tcPr>
            <w:tcW w:w="3000" w:type="dxa"/>
            <w:vAlign w:val="center"/>
            <w:hideMark/>
          </w:tcPr>
          <w:p w14:paraId="5EE18587"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Menentukan jenis miskonsepsi (keyakinan, model mental, kategori) dan sumbernya; memisahkan miskonsepsi dari khilafiyah</w:t>
            </w:r>
          </w:p>
        </w:tc>
        <w:tc>
          <w:tcPr>
            <w:tcW w:w="2300" w:type="dxa"/>
            <w:vAlign w:val="center"/>
            <w:hideMark/>
          </w:tcPr>
          <w:p w14:paraId="0CCC6297"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Menelusuri apakah kesalahan wudu berasal dari kebiasaan di rumah atau dari kelupaan</w:t>
            </w:r>
          </w:p>
        </w:tc>
        <w:tc>
          <w:tcPr>
            <w:tcW w:w="1600" w:type="dxa"/>
            <w:vAlign w:val="center"/>
            <w:hideMark/>
          </w:tcPr>
          <w:p w14:paraId="17EEE677"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Chi (2008); Vosniadou (1994)</w:t>
            </w:r>
          </w:p>
        </w:tc>
      </w:tr>
      <w:tr w:rsidR="00F618F2" w14:paraId="36738E55"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45EC0018"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3. Perencanaan perbaikan</w:t>
            </w:r>
          </w:p>
        </w:tc>
        <w:tc>
          <w:tcPr>
            <w:tcW w:w="3000" w:type="dxa"/>
            <w:vAlign w:val="center"/>
            <w:hideMark/>
          </w:tcPr>
          <w:p w14:paraId="09CC65F9"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Memilih strategi yang sesuai dengan jenis miskonsepsi</w:t>
            </w:r>
          </w:p>
        </w:tc>
        <w:tc>
          <w:tcPr>
            <w:tcW w:w="2300" w:type="dxa"/>
            <w:vAlign w:val="center"/>
            <w:hideMark/>
          </w:tcPr>
          <w:p w14:paraId="0170BF5A"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Cerita sanggahan untuk akidah; demonstrasi untuk ibadah</w:t>
            </w:r>
          </w:p>
        </w:tc>
        <w:tc>
          <w:tcPr>
            <w:tcW w:w="1600" w:type="dxa"/>
            <w:vAlign w:val="center"/>
            <w:hideMark/>
          </w:tcPr>
          <w:p w14:paraId="5D699485"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Posner et al. (1982); Tippett (2010)</w:t>
            </w:r>
          </w:p>
        </w:tc>
      </w:tr>
      <w:tr w:rsidR="00F618F2" w14:paraId="362861C8" w14:textId="77777777" w:rsidTr="00F618F2">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0A2813EC"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4. Pembelajaran perbaikan</w:t>
            </w:r>
          </w:p>
        </w:tc>
        <w:tc>
          <w:tcPr>
            <w:tcW w:w="3000" w:type="dxa"/>
            <w:vAlign w:val="center"/>
            <w:hideMark/>
          </w:tcPr>
          <w:p w14:paraId="3E90EB53"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Melaksanakan dialog, pembelajaran kontekstual, demonstrasi, dan media yang akurat</w:t>
            </w:r>
          </w:p>
        </w:tc>
        <w:tc>
          <w:tcPr>
            <w:tcW w:w="2300" w:type="dxa"/>
            <w:vAlign w:val="center"/>
            <w:hideMark/>
          </w:tcPr>
          <w:p w14:paraId="58A09788"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Praktik wudu dengan umpan balik proses</w:t>
            </w:r>
          </w:p>
        </w:tc>
        <w:tc>
          <w:tcPr>
            <w:tcW w:w="1600" w:type="dxa"/>
            <w:vAlign w:val="center"/>
            <w:hideMark/>
          </w:tcPr>
          <w:p w14:paraId="23E22815"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Hattie &amp; Timperley (2007); Vygotsky (1978)</w:t>
            </w:r>
          </w:p>
        </w:tc>
      </w:tr>
      <w:tr w:rsidR="00F618F2" w14:paraId="0F000929" w14:textId="77777777" w:rsidTr="00F61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463BF951"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lastRenderedPageBreak/>
              <w:t>5. Evaluasi pemahaman</w:t>
            </w:r>
          </w:p>
        </w:tc>
        <w:tc>
          <w:tcPr>
            <w:tcW w:w="3000" w:type="dxa"/>
            <w:vAlign w:val="center"/>
            <w:hideMark/>
          </w:tcPr>
          <w:p w14:paraId="05D87318"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Memeriksa perubahan pemahaman dengan bentuk asesmen yang berbeda dari asesmen awal</w:t>
            </w:r>
          </w:p>
        </w:tc>
        <w:tc>
          <w:tcPr>
            <w:tcW w:w="2300" w:type="dxa"/>
            <w:vAlign w:val="center"/>
            <w:hideMark/>
          </w:tcPr>
          <w:p w14:paraId="5BC40AF3"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Peserta didik menjelaskan konsep dengan kata-kata sendiri pada situasi baru</w:t>
            </w:r>
          </w:p>
        </w:tc>
        <w:tc>
          <w:tcPr>
            <w:tcW w:w="1600" w:type="dxa"/>
            <w:vAlign w:val="center"/>
            <w:hideMark/>
          </w:tcPr>
          <w:p w14:paraId="0AE50511" w14:textId="77777777" w:rsidR="00F618F2" w:rsidRDefault="00000000">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Minion Pro" w:hAnsi="Minion Pro"/>
              </w:rPr>
            </w:pPr>
            <w:r>
              <w:rPr>
                <w:rFonts w:ascii="Minion Pro" w:hAnsi="Minion Pro"/>
                <w:sz w:val="20"/>
                <w:szCs w:val="20"/>
              </w:rPr>
              <w:t>Black &amp; Wiliam (1998)</w:t>
            </w:r>
          </w:p>
        </w:tc>
      </w:tr>
      <w:tr w:rsidR="00F618F2" w14:paraId="3D35E10B" w14:textId="77777777" w:rsidTr="00F618F2">
        <w:tc>
          <w:tcPr>
            <w:cnfStyle w:val="001000000000" w:firstRow="0" w:lastRow="0" w:firstColumn="1" w:lastColumn="0" w:oddVBand="0" w:evenVBand="0" w:oddHBand="0" w:evenHBand="0" w:firstRowFirstColumn="0" w:firstRowLastColumn="0" w:lastRowFirstColumn="0" w:lastRowLastColumn="0"/>
            <w:tcW w:w="1700" w:type="dxa"/>
            <w:vAlign w:val="center"/>
            <w:hideMark/>
          </w:tcPr>
          <w:p w14:paraId="0F6C3547" w14:textId="77777777" w:rsidR="00F618F2" w:rsidRDefault="00000000">
            <w:pPr>
              <w:pStyle w:val="NormalWeb"/>
              <w:spacing w:before="0" w:beforeAutospacing="0" w:after="0" w:afterAutospacing="0"/>
              <w:rPr>
                <w:rFonts w:ascii="Minion Pro" w:hAnsi="Minion Pro"/>
              </w:rPr>
            </w:pPr>
            <w:r>
              <w:rPr>
                <w:rFonts w:ascii="Minion Pro" w:hAnsi="Minion Pro"/>
                <w:sz w:val="20"/>
                <w:szCs w:val="20"/>
              </w:rPr>
              <w:t>6. Tindak lanjut</w:t>
            </w:r>
          </w:p>
        </w:tc>
        <w:tc>
          <w:tcPr>
            <w:tcW w:w="3000" w:type="dxa"/>
            <w:vAlign w:val="center"/>
            <w:hideMark/>
          </w:tcPr>
          <w:p w14:paraId="45448DEE"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Memberikan penguatan, pengayaan, atau mengulang siklus; berkomunikasi dengan orang tua dan TPA</w:t>
            </w:r>
          </w:p>
        </w:tc>
        <w:tc>
          <w:tcPr>
            <w:tcW w:w="2300" w:type="dxa"/>
            <w:vAlign w:val="center"/>
            <w:hideMark/>
          </w:tcPr>
          <w:p w14:paraId="7205B295"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Catatan perkembangan pemahaman untuk orang tua</w:t>
            </w:r>
          </w:p>
        </w:tc>
        <w:tc>
          <w:tcPr>
            <w:tcW w:w="1600" w:type="dxa"/>
            <w:vAlign w:val="center"/>
            <w:hideMark/>
          </w:tcPr>
          <w:p w14:paraId="5FA0F723" w14:textId="77777777" w:rsidR="00F618F2" w:rsidRDefault="0000000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Minion Pro" w:hAnsi="Minion Pro"/>
              </w:rPr>
            </w:pPr>
            <w:r>
              <w:rPr>
                <w:rFonts w:ascii="Minion Pro" w:hAnsi="Minion Pro"/>
                <w:sz w:val="20"/>
                <w:szCs w:val="20"/>
              </w:rPr>
              <w:t>Salamat et al. (2026)</w:t>
            </w:r>
          </w:p>
        </w:tc>
      </w:tr>
    </w:tbl>
    <w:p w14:paraId="570728FA" w14:textId="77777777" w:rsidR="00F618F2" w:rsidRDefault="00000000">
      <w:pPr>
        <w:pStyle w:val="NormalWeb"/>
        <w:spacing w:before="0" w:beforeAutospacing="0" w:after="0" w:afterAutospacing="0"/>
        <w:ind w:left="567"/>
        <w:jc w:val="both"/>
        <w:rPr>
          <w:rFonts w:ascii="Minion Pro" w:hAnsi="Minion Pro"/>
        </w:rPr>
      </w:pPr>
      <w:r>
        <w:rPr>
          <w:rFonts w:ascii="Minion Pro" w:hAnsi="Minion Pro"/>
          <w:sz w:val="20"/>
        </w:rPr>
        <w:t>Sumber: sintesis penulis.</w:t>
      </w:r>
    </w:p>
    <w:p w14:paraId="48BBF1AF"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Dibandingkan dengan tahapan penanganan miskonsepsi yang umum dalam literatur pendidikan sains, model ini memiliki dua kekhasan. Pertama, tahap analisis secara eksplisit mewajibkan guru membedakan miskonsepsi dari perbedaan pendapat yang sah dalam tradisi keilmuan Islam, sehingga penanganan miskonsepsi tidak berubah menjadi penyeragaman praktik keagamaan yang beragam. Kedua, tahap tindak lanjut melibatkan keluarga dan TPA, karena pengetahuan keagamaan anak terbentuk di beberapa lingkungan sekaligus. Model ini merupakan sintesis konseptual dan belum diuji secara empiris. Karena itu, model ini lebih tepat dipandang sebagai hipotesis kerja yang perlu divalidasi melalui penelitian lapangan.</w:t>
      </w:r>
    </w:p>
    <w:p w14:paraId="6D33B1DE" w14:textId="77777777" w:rsidR="00F618F2" w:rsidRDefault="00000000">
      <w:pPr>
        <w:pStyle w:val="Judul2"/>
        <w:numPr>
          <w:ilvl w:val="3"/>
          <w:numId w:val="1"/>
        </w:numPr>
        <w:spacing w:before="0" w:line="240" w:lineRule="auto"/>
        <w:ind w:left="567" w:hanging="283"/>
        <w:jc w:val="both"/>
        <w:rPr>
          <w:rStyle w:val="fontstyle01"/>
          <w:rFonts w:ascii="Minion Pro" w:eastAsiaTheme="minorHAnsi" w:hAnsi="Minion Pro" w:cstheme="minorBidi"/>
          <w:b w:val="0"/>
          <w:bCs w:val="0"/>
        </w:rPr>
      </w:pPr>
      <w:r>
        <w:rPr>
          <w:rStyle w:val="fontstyle01"/>
          <w:rFonts w:ascii="Minion Pro" w:eastAsiaTheme="minorHAnsi" w:hAnsi="Minion Pro" w:cstheme="minorBidi"/>
          <w:b w:val="0"/>
          <w:bCs w:val="0"/>
        </w:rPr>
        <w:t>Implikasi dan Keterbatasan Kajian</w:t>
      </w:r>
    </w:p>
    <w:p w14:paraId="733B960B"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Kajian ini memiliki tiga implikasi praktis. Pertama, asesmen diagnostik yang dianjurkan dalam Kurikulum Merdeka (Syuhud &amp; Farid, 2024) perlu dirancang untuk mengungkap alasan peserta didik, tidak hanya mengukur kesiapan materi. Kedua, hafalan tetap penting dalam PAI, tetapi perlu diikuti oleh pemaknaan dan penerapan (Boyle, 2006). Ketiga, program studi PGMI perlu memasukkan pengetahuan tentang miskonsepsi peserta didik dan teknik diagnostiknya ke dalam mata kuliah pembelajaran PAI dan praktik lapangan.</w:t>
      </w:r>
    </w:p>
    <w:p w14:paraId="4FF822B3" w14:textId="77777777" w:rsidR="00F618F2" w:rsidRDefault="00000000">
      <w:pPr>
        <w:pStyle w:val="NormalWeb"/>
        <w:spacing w:before="0" w:beforeAutospacing="0" w:after="0" w:afterAutospacing="0"/>
        <w:ind w:left="567" w:firstLine="567"/>
        <w:jc w:val="both"/>
        <w:rPr>
          <w:rStyle w:val="fontstyle01"/>
          <w:rFonts w:ascii="Minion Pro" w:eastAsiaTheme="minorHAnsi" w:hAnsi="Minion Pro" w:cstheme="minorBidi"/>
        </w:rPr>
      </w:pPr>
      <w:r>
        <w:rPr>
          <w:rStyle w:val="fontstyle01"/>
          <w:rFonts w:ascii="Minion Pro" w:eastAsiaTheme="minorHAnsi" w:hAnsi="Minion Pro" w:cstheme="minorBidi"/>
        </w:rPr>
        <w:t>Kajian ini juga memiliki sejumlah keterbatasan. Pertama, sebagian besar landasan teoretis dan bukti empiris tentang miskonsepsi berasal dari pendidikan sains, sedangkan bukti tentang kognisi keagamaan anak berasal dari sampel di luar konteks madrasah. Kedua, penelitian empiris tentang miskonsepsi PAI di sekolah dasar yang ditemukan masih sangat sedikit, sehingga peta miskonsepsi pada Tabel 2 bersifat hipotetis. Ketiga, penelusuran literatur terbatas pada basis data dan bahasa tertentu. Penelitian selanjutnya disarankan untuk mengembangkan dan memvalidasi tes diagnostik dua tingkat untuk materi PAI di MI, memetakan prevalensi miskonsepsi melalui survei, serta menguji model enam tahap melalui penelitian tindakan kelas atau kuasi-eksperimen.</w:t>
      </w:r>
    </w:p>
    <w:p w14:paraId="7D580CDB" w14:textId="77777777" w:rsidR="00AF176B" w:rsidRPr="00AF176B" w:rsidRDefault="00AF176B" w:rsidP="004F1A5E">
      <w:pPr>
        <w:spacing w:after="0" w:line="240" w:lineRule="auto"/>
        <w:ind w:firstLine="851"/>
        <w:jc w:val="both"/>
        <w:rPr>
          <w:rFonts w:ascii="Minion Pro" w:hAnsi="Minion Pro" w:cs="Times New Roman"/>
          <w:sz w:val="24"/>
          <w:szCs w:val="24"/>
        </w:rPr>
      </w:pPr>
    </w:p>
    <w:p w14:paraId="35F239FA" w14:textId="77777777" w:rsidR="00F618F2" w:rsidRDefault="00000000">
      <w:pPr>
        <w:pStyle w:val="DaftarParagraf"/>
        <w:numPr>
          <w:ilvl w:val="0"/>
          <w:numId w:val="1"/>
        </w:numPr>
        <w:spacing w:after="0" w:line="240" w:lineRule="auto"/>
        <w:ind w:left="284" w:right="71" w:hanging="284"/>
        <w:contextualSpacing w:val="0"/>
        <w:jc w:val="both"/>
        <w:rPr>
          <w:rFonts w:ascii="Minion Pro" w:hAnsi="Minion Pro" w:cs="Times New Roman"/>
          <w:sz w:val="24"/>
          <w:szCs w:val="24"/>
        </w:rPr>
      </w:pPr>
      <w:r>
        <w:rPr>
          <w:rFonts w:ascii="Minion Pro" w:hAnsi="Minion Pro" w:cs="Times New Roman"/>
          <w:b/>
          <w:sz w:val="24"/>
          <w:szCs w:val="24"/>
        </w:rPr>
        <w:t>Kesimpulan</w:t>
      </w:r>
    </w:p>
    <w:p w14:paraId="28A6EE95"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Kajian ini menyimpulkan bahwa miskonsepsi dalam pembelajaran PAI di MI dapat muncul pada bidang akidah, Al-Qur'an dan hadis, fikih, akhlak, serta Sejarah Kebudayaan Islam, dengan tingkat kesulitan yang berbeda. Miskonsepsi akidah cenderung bersifat kategorial sehingga paling sulit diubah, sedangkan miskonsepsi fikih sering berupa keyakinan tunggal yang relatif mudah diperbaiki. Miskonsepsi tersebut bersumber dari interaksi antara intuisi dan pengetahuan awal anak, strategi mengajar yang berhenti pada hafalan, media yang kurang akurat, informasi dari </w:t>
      </w:r>
      <w:r>
        <w:rPr>
          <w:rStyle w:val="fontstyle01"/>
          <w:rFonts w:ascii="Minion Pro" w:hAnsi="Minion Pro"/>
        </w:rPr>
        <w:lastRenderedPageBreak/>
        <w:t>keluarga, TPA, dan lingkungan sosial, serta asesmen yang hanya mengukur jawaban akhir.</w:t>
      </w:r>
    </w:p>
    <w:p w14:paraId="271B9DE7"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 xml:space="preserve">Untuk mengidentifikasi miskonsepsi, guru PGMI dapat menggunakan pertanyaan diagnostik, permintaan alasan, tes diagnostik dua tingkat, observasi praktik, dan asesmen formatif. Untuk memperbaikinya, guru dapat membangun ketidakpuasan konseptual secara santun, menggunakan cerita sanggahan, mengaitkan materi dengan pengalaman anak, melakukan demonstrasi dengan umpan balik, membuka dialog reflektif, serta menggunakan media yang akurat dan berkolaborasi dengan keluarga. Strategi-strategi ini dirangkum dalam model enam tahap yang menempatkan diagnosis sebagai dasar keputusan pembelajaran dan membedakan miskonsepsi dari </w:t>
      </w:r>
      <w:r>
        <w:rPr>
          <w:rStyle w:val="fontstyle01"/>
          <w:rFonts w:ascii="Minion Pro" w:hAnsi="Minion Pro"/>
          <w:i/>
        </w:rPr>
        <w:t>khilafiyah</w:t>
      </w:r>
      <w:r>
        <w:rPr>
          <w:rStyle w:val="fontstyle01"/>
          <w:rFonts w:ascii="Minion Pro" w:hAnsi="Minion Pro"/>
        </w:rPr>
        <w:t>.</w:t>
      </w:r>
    </w:p>
    <w:p w14:paraId="69855D3D" w14:textId="77777777" w:rsidR="00F618F2" w:rsidRDefault="00000000">
      <w:pPr>
        <w:spacing w:after="0" w:line="240" w:lineRule="auto"/>
        <w:ind w:left="284" w:firstLine="567"/>
        <w:jc w:val="both"/>
        <w:rPr>
          <w:rStyle w:val="fontstyle01"/>
          <w:rFonts w:ascii="Minion Pro" w:hAnsi="Minion Pro"/>
        </w:rPr>
      </w:pPr>
      <w:r>
        <w:rPr>
          <w:rStyle w:val="fontstyle01"/>
          <w:rFonts w:ascii="Minion Pro" w:hAnsi="Minion Pro"/>
        </w:rPr>
        <w:t>Keberhasilan penanganan miskonsepsi sangat bergantung pada PCK guru, khususnya pengetahuan tentang pola kesalahpahaman peserta didik. Karena kajian ini merupakan tinjauan pustaka, model yang dirumuskan perlu diuji melalui penelitian empiris di berbagai Madrasah Ibtidaiyah.</w:t>
      </w:r>
    </w:p>
    <w:p w14:paraId="3C56E173" w14:textId="77777777" w:rsidR="00AF176B" w:rsidRPr="00AF176B" w:rsidRDefault="00AF176B" w:rsidP="004F1A5E">
      <w:pPr>
        <w:spacing w:after="0" w:line="240" w:lineRule="auto"/>
        <w:ind w:firstLine="851"/>
        <w:jc w:val="both"/>
        <w:rPr>
          <w:rFonts w:ascii="Minion Pro" w:hAnsi="Minion Pro" w:cs="Times New Roman"/>
          <w:sz w:val="24"/>
          <w:szCs w:val="24"/>
        </w:rPr>
      </w:pPr>
    </w:p>
    <w:p w14:paraId="6C13CF04" w14:textId="77777777" w:rsidR="00F618F2" w:rsidRDefault="00000000">
      <w:pPr>
        <w:spacing w:after="0" w:line="240" w:lineRule="auto"/>
        <w:jc w:val="both"/>
        <w:rPr>
          <w:rFonts w:ascii="Minion Pro" w:hAnsi="Minion Pro" w:cs="Minion Pro"/>
          <w:b/>
          <w:sz w:val="24"/>
          <w:szCs w:val="24"/>
          <w:lang w:val="id-ID"/>
        </w:rPr>
      </w:pPr>
      <w:r>
        <w:rPr>
          <w:rFonts w:ascii="Minion Pro" w:hAnsi="Minion Pro" w:cs="Times New Roman"/>
          <w:b/>
          <w:sz w:val="24"/>
          <w:szCs w:val="24"/>
        </w:rPr>
        <w:t>Referensi</w:t>
      </w:r>
    </w:p>
    <w:p w14:paraId="4EF9CF47"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Agbaria, A. (2024). Education for religion: An Islamic perspective. </w:t>
      </w:r>
      <w:r>
        <w:rPr>
          <w:rFonts w:ascii="Minion Pro" w:eastAsiaTheme="minorHAnsi" w:hAnsi="Minion Pro" w:cstheme="minorBidi"/>
          <w:i/>
        </w:rPr>
        <w:t>Religions, 15</w:t>
      </w:r>
      <w:r>
        <w:rPr>
          <w:rFonts w:ascii="Minion Pro" w:eastAsiaTheme="minorHAnsi" w:hAnsi="Minion Pro" w:cstheme="minorBidi"/>
        </w:rPr>
        <w:t>(3), Article 309. https://doi.org/10.3390/rel15030309</w:t>
      </w:r>
    </w:p>
    <w:p w14:paraId="6091B653"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Ariansyah, D. D. A. (2023). The relevance of Lev Vygotsky's constructivist theory to the Islamic religious education learning system in Indonesia. </w:t>
      </w:r>
      <w:r>
        <w:rPr>
          <w:rFonts w:ascii="Minion Pro" w:eastAsiaTheme="minorHAnsi" w:hAnsi="Minion Pro" w:cstheme="minorBidi"/>
          <w:i/>
        </w:rPr>
        <w:t>Mudir: Jurnal Manajemen Pendidikan, 5</w:t>
      </w:r>
      <w:r>
        <w:rPr>
          <w:rFonts w:ascii="Minion Pro" w:eastAsiaTheme="minorHAnsi" w:hAnsi="Minion Pro" w:cstheme="minorBidi"/>
        </w:rPr>
        <w:t>(1), 217–223. https://doi.org/10.55352/mudir.v5i1.609</w:t>
      </w:r>
    </w:p>
    <w:p w14:paraId="510C7EB2"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Ausubel, D. P. (1968). </w:t>
      </w:r>
      <w:r>
        <w:rPr>
          <w:rFonts w:ascii="Minion Pro" w:eastAsiaTheme="minorHAnsi" w:hAnsi="Minion Pro" w:cstheme="minorBidi"/>
          <w:i/>
        </w:rPr>
        <w:t>Educational psychology: A cognitive view</w:t>
      </w:r>
      <w:r>
        <w:rPr>
          <w:rFonts w:ascii="Minion Pro" w:eastAsiaTheme="minorHAnsi" w:hAnsi="Minion Pro" w:cstheme="minorBidi"/>
        </w:rPr>
        <w:t>. Holt, Rinehart and Winston.</w:t>
      </w:r>
    </w:p>
    <w:p w14:paraId="676545C2"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Barrett, J. L., &amp; Keil, F. C. (1996). Conceptualizing a nonnatural entity: Anthropomorphism in God concepts. </w:t>
      </w:r>
      <w:r>
        <w:rPr>
          <w:rFonts w:ascii="Minion Pro" w:eastAsiaTheme="minorHAnsi" w:hAnsi="Minion Pro" w:cstheme="minorBidi"/>
          <w:i/>
        </w:rPr>
        <w:t>Cognitive Psychology, 31</w:t>
      </w:r>
      <w:r>
        <w:rPr>
          <w:rFonts w:ascii="Minion Pro" w:eastAsiaTheme="minorHAnsi" w:hAnsi="Minion Pro" w:cstheme="minorBidi"/>
        </w:rPr>
        <w:t>(3), 219–247. https://doi.org/10.1006/cogp.1996.0017</w:t>
      </w:r>
    </w:p>
    <w:p w14:paraId="33320E2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Black, P., &amp; Wiliam, D. (1998). Assessment and classroom learning. </w:t>
      </w:r>
      <w:r>
        <w:rPr>
          <w:rFonts w:ascii="Minion Pro" w:eastAsiaTheme="minorHAnsi" w:hAnsi="Minion Pro" w:cstheme="minorBidi"/>
          <w:i/>
        </w:rPr>
        <w:t>Assessment in Education: Principles, Policy &amp; Practice, 5</w:t>
      </w:r>
      <w:r>
        <w:rPr>
          <w:rFonts w:ascii="Minion Pro" w:eastAsiaTheme="minorHAnsi" w:hAnsi="Minion Pro" w:cstheme="minorBidi"/>
        </w:rPr>
        <w:t>(1), 7–74. https://doi.org/10.1080/0969595980050102</w:t>
      </w:r>
    </w:p>
    <w:p w14:paraId="2256A100"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Boyle, H. N. (2006). Memorization and learning in Islamic schools. </w:t>
      </w:r>
      <w:r>
        <w:rPr>
          <w:rFonts w:ascii="Minion Pro" w:eastAsiaTheme="minorHAnsi" w:hAnsi="Minion Pro" w:cstheme="minorBidi"/>
          <w:i/>
        </w:rPr>
        <w:t>Comparative Education Review, 50</w:t>
      </w:r>
      <w:r>
        <w:rPr>
          <w:rFonts w:ascii="Minion Pro" w:eastAsiaTheme="minorHAnsi" w:hAnsi="Minion Pro" w:cstheme="minorBidi"/>
        </w:rPr>
        <w:t>(3), 478–495. https://doi.org/10.1086/504819</w:t>
      </w:r>
    </w:p>
    <w:p w14:paraId="706B4FD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Bransford, J. D., Brown, A. L., &amp; Cocking, R. R. (Eds.). (2000). </w:t>
      </w:r>
      <w:r>
        <w:rPr>
          <w:rFonts w:ascii="Minion Pro" w:eastAsiaTheme="minorHAnsi" w:hAnsi="Minion Pro" w:cstheme="minorBidi"/>
          <w:i/>
        </w:rPr>
        <w:t>How people learn: Brain, mind, experience, and school</w:t>
      </w:r>
      <w:r>
        <w:rPr>
          <w:rFonts w:ascii="Minion Pro" w:eastAsiaTheme="minorHAnsi" w:hAnsi="Minion Pro" w:cstheme="minorBidi"/>
        </w:rPr>
        <w:t xml:space="preserve"> (Expanded ed.). National Academy Press. https://doi.org/10.17226/9853</w:t>
      </w:r>
    </w:p>
    <w:p w14:paraId="5FE3F3C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Braun, V., &amp; Clarke, V. (2006). Using thematic analysis in psychology. </w:t>
      </w:r>
      <w:r>
        <w:rPr>
          <w:rFonts w:ascii="Minion Pro" w:eastAsiaTheme="minorHAnsi" w:hAnsi="Minion Pro" w:cstheme="minorBidi"/>
          <w:i/>
        </w:rPr>
        <w:t>Qualitative Research in Psychology, 3</w:t>
      </w:r>
      <w:r>
        <w:rPr>
          <w:rFonts w:ascii="Minion Pro" w:eastAsiaTheme="minorHAnsi" w:hAnsi="Minion Pro" w:cstheme="minorBidi"/>
        </w:rPr>
        <w:t>(2), 77–101. https://doi.org/10.1191/1478088706qp063oa</w:t>
      </w:r>
    </w:p>
    <w:p w14:paraId="470CFEE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Busri, A. H., Wijaya, A. W., Izuddin, A., Wahyuni, A., &amp; Tamwifi, I. (2026). Kerangka rekonstruksi pembelajaran Pendidikan Agama Islam di sekolah dasar berbasis teori perkembangan kognitif Piaget. </w:t>
      </w:r>
      <w:r>
        <w:rPr>
          <w:rFonts w:ascii="Minion Pro" w:eastAsiaTheme="minorHAnsi" w:hAnsi="Minion Pro" w:cstheme="minorBidi"/>
          <w:i/>
        </w:rPr>
        <w:t>Edu Journal Innovation in Learning and Education, 4</w:t>
      </w:r>
      <w:r>
        <w:rPr>
          <w:rFonts w:ascii="Minion Pro" w:eastAsiaTheme="minorHAnsi" w:hAnsi="Minion Pro" w:cstheme="minorBidi"/>
        </w:rPr>
        <w:t>(1), 88–100. https://doi.org/10.55352/edu.v4i1.3067</w:t>
      </w:r>
    </w:p>
    <w:p w14:paraId="589CA2D0"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Chi, M. T. H. (2008). Three types of conceptual change: Belief revision, mental model transformation, and categorical shift. In S. Vosniadou (Ed.), </w:t>
      </w:r>
      <w:r>
        <w:rPr>
          <w:rFonts w:ascii="Minion Pro" w:eastAsiaTheme="minorHAnsi" w:hAnsi="Minion Pro" w:cstheme="minorBidi"/>
          <w:i/>
        </w:rPr>
        <w:t>International handbook of research on conceptual change</w:t>
      </w:r>
      <w:r>
        <w:rPr>
          <w:rFonts w:ascii="Minion Pro" w:eastAsiaTheme="minorHAnsi" w:hAnsi="Minion Pro" w:cstheme="minorBidi"/>
        </w:rPr>
        <w:t xml:space="preserve"> (pp. 61–82). Routledge.</w:t>
      </w:r>
    </w:p>
    <w:p w14:paraId="0C1EE1C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Chi, M. T. H., &amp; Roscoe, R. D. (2002). The processes and challenges of conceptual change. In M. Limón &amp; L. Mason (Eds.), </w:t>
      </w:r>
      <w:r>
        <w:rPr>
          <w:rFonts w:ascii="Minion Pro" w:eastAsiaTheme="minorHAnsi" w:hAnsi="Minion Pro" w:cstheme="minorBidi"/>
          <w:i/>
        </w:rPr>
        <w:t xml:space="preserve">Reconsidering conceptual change: Issues in theory and </w:t>
      </w:r>
      <w:r>
        <w:rPr>
          <w:rFonts w:ascii="Minion Pro" w:eastAsiaTheme="minorHAnsi" w:hAnsi="Minion Pro" w:cstheme="minorBidi"/>
          <w:i/>
        </w:rPr>
        <w:lastRenderedPageBreak/>
        <w:t>practice</w:t>
      </w:r>
      <w:r>
        <w:rPr>
          <w:rFonts w:ascii="Minion Pro" w:eastAsiaTheme="minorHAnsi" w:hAnsi="Minion Pro" w:cstheme="minorBidi"/>
        </w:rPr>
        <w:t xml:space="preserve"> (pp. 3–27). Kluwer Academic Publishers. https://doi.org/10.1007/0-306-47637-1_1</w:t>
      </w:r>
    </w:p>
    <w:p w14:paraId="17C93FF4"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Creswell, J. W., &amp; Poth, C. N. (2018). </w:t>
      </w:r>
      <w:r>
        <w:rPr>
          <w:rFonts w:ascii="Minion Pro" w:eastAsiaTheme="minorHAnsi" w:hAnsi="Minion Pro" w:cstheme="minorBidi"/>
          <w:i/>
        </w:rPr>
        <w:t>Qualitative inquiry and research design: Choosing among five approaches</w:t>
      </w:r>
      <w:r>
        <w:rPr>
          <w:rFonts w:ascii="Minion Pro" w:eastAsiaTheme="minorHAnsi" w:hAnsi="Minion Pro" w:cstheme="minorBidi"/>
        </w:rPr>
        <w:t xml:space="preserve"> (4th ed.). SAGE Publications.</w:t>
      </w:r>
    </w:p>
    <w:p w14:paraId="1EA73C40"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Daradjat, Z. (2011). </w:t>
      </w:r>
      <w:r>
        <w:rPr>
          <w:rFonts w:ascii="Minion Pro" w:eastAsiaTheme="minorHAnsi" w:hAnsi="Minion Pro" w:cstheme="minorBidi"/>
          <w:i/>
        </w:rPr>
        <w:t>Ilmu pendidikan Islam</w:t>
      </w:r>
      <w:r>
        <w:rPr>
          <w:rFonts w:ascii="Minion Pro" w:eastAsiaTheme="minorHAnsi" w:hAnsi="Minion Pro" w:cstheme="minorBidi"/>
        </w:rPr>
        <w:t>. Bumi Aksara.</w:t>
      </w:r>
    </w:p>
    <w:p w14:paraId="10BF171B"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Darling-Hammond, L. (2006). Constructing 21st-century teacher education. </w:t>
      </w:r>
      <w:r>
        <w:rPr>
          <w:rFonts w:ascii="Minion Pro" w:eastAsiaTheme="minorHAnsi" w:hAnsi="Minion Pro" w:cstheme="minorBidi"/>
          <w:i/>
        </w:rPr>
        <w:t>Journal of Teacher Education, 57</w:t>
      </w:r>
      <w:r>
        <w:rPr>
          <w:rFonts w:ascii="Minion Pro" w:eastAsiaTheme="minorHAnsi" w:hAnsi="Minion Pro" w:cstheme="minorBidi"/>
        </w:rPr>
        <w:t>(3), 300–314. https://doi.org/10.1177/0022487105285962</w:t>
      </w:r>
    </w:p>
    <w:p w14:paraId="0DE60E99"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Depaepe, F., Verschaffel, L., &amp; Kelchtermans, G. (2013). Pedagogical content knowledge: A systematic review of the way in which the concept has pervaded mathematics educational research. </w:t>
      </w:r>
      <w:r>
        <w:rPr>
          <w:rFonts w:ascii="Minion Pro" w:eastAsiaTheme="minorHAnsi" w:hAnsi="Minion Pro" w:cstheme="minorBidi"/>
          <w:i/>
        </w:rPr>
        <w:t>Teaching and Teacher Education, 34</w:t>
      </w:r>
      <w:r>
        <w:rPr>
          <w:rFonts w:ascii="Minion Pro" w:eastAsiaTheme="minorHAnsi" w:hAnsi="Minion Pro" w:cstheme="minorBidi"/>
        </w:rPr>
        <w:t>, 12–25. https://doi.org/10.1016/j.tate.2013.03.001</w:t>
      </w:r>
    </w:p>
    <w:p w14:paraId="4DCAC85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Grant, M. J., &amp; Booth, A. (2009). A typology of reviews: An analysis of 14 review types and associated methodologies. </w:t>
      </w:r>
      <w:r>
        <w:rPr>
          <w:rFonts w:ascii="Minion Pro" w:eastAsiaTheme="minorHAnsi" w:hAnsi="Minion Pro" w:cstheme="minorBidi"/>
          <w:i/>
        </w:rPr>
        <w:t>Health Information &amp; Libraries Journal, 26</w:t>
      </w:r>
      <w:r>
        <w:rPr>
          <w:rFonts w:ascii="Minion Pro" w:eastAsiaTheme="minorHAnsi" w:hAnsi="Minion Pro" w:cstheme="minorBidi"/>
        </w:rPr>
        <w:t>(2), 91–108. https://doi.org/10.1111/j.1471-1842.2009.00848.x</w:t>
      </w:r>
    </w:p>
    <w:p w14:paraId="77758E3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Hattie, J., &amp; Timperley, H. (2007). The power of feedback. </w:t>
      </w:r>
      <w:r>
        <w:rPr>
          <w:rFonts w:ascii="Minion Pro" w:eastAsiaTheme="minorHAnsi" w:hAnsi="Minion Pro" w:cstheme="minorBidi"/>
          <w:i/>
        </w:rPr>
        <w:t>Review of Educational Research, 77</w:t>
      </w:r>
      <w:r>
        <w:rPr>
          <w:rFonts w:ascii="Minion Pro" w:eastAsiaTheme="minorHAnsi" w:hAnsi="Minion Pro" w:cstheme="minorBidi"/>
        </w:rPr>
        <w:t>(1), 81–112. https://doi.org/10.3102/003465430298487</w:t>
      </w:r>
    </w:p>
    <w:p w14:paraId="73DEE764"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Jannah, T., Rohman, F., &amp; Al Mufti, A. Y. (2024). Teachers' strategies in overcoming misconceptions in Islamic religious education learning for grade 2 of SDUT Bumi Kartini Jepara. </w:t>
      </w:r>
      <w:r>
        <w:rPr>
          <w:rFonts w:ascii="Minion Pro" w:eastAsiaTheme="minorHAnsi" w:hAnsi="Minion Pro" w:cstheme="minorBidi"/>
          <w:i/>
        </w:rPr>
        <w:t>Intiqad: Jurnal Agama dan Pendidikan Islam, 16</w:t>
      </w:r>
      <w:r>
        <w:rPr>
          <w:rFonts w:ascii="Minion Pro" w:eastAsiaTheme="minorHAnsi" w:hAnsi="Minion Pro" w:cstheme="minorBidi"/>
        </w:rPr>
        <w:t>(2), 438–460. https://doi.org/10.30596/21433</w:t>
      </w:r>
    </w:p>
    <w:p w14:paraId="495FE5BB"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Kaltakci Gurel, D., Eryilmaz, A., &amp; McDermott, L. C. (2015). A review and comparison of diagnostic instruments to identify students' misconceptions in science. </w:t>
      </w:r>
      <w:r>
        <w:rPr>
          <w:rFonts w:ascii="Minion Pro" w:eastAsiaTheme="minorHAnsi" w:hAnsi="Minion Pro" w:cstheme="minorBidi"/>
          <w:i/>
        </w:rPr>
        <w:t>Eurasia Journal of Mathematics, Science and Technology Education, 11</w:t>
      </w:r>
      <w:r>
        <w:rPr>
          <w:rFonts w:ascii="Minion Pro" w:eastAsiaTheme="minorHAnsi" w:hAnsi="Minion Pro" w:cstheme="minorBidi"/>
        </w:rPr>
        <w:t>(5), 989–1008. https://doi.org/10.12973/eurasia.2015.1369a</w:t>
      </w:r>
    </w:p>
    <w:p w14:paraId="7EFD2141"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Krippendorff, K. (2019). </w:t>
      </w:r>
      <w:r>
        <w:rPr>
          <w:rFonts w:ascii="Minion Pro" w:eastAsiaTheme="minorHAnsi" w:hAnsi="Minion Pro" w:cstheme="minorBidi"/>
          <w:i/>
        </w:rPr>
        <w:t>Content analysis: An introduction to its methodology</w:t>
      </w:r>
      <w:r>
        <w:rPr>
          <w:rFonts w:ascii="Minion Pro" w:eastAsiaTheme="minorHAnsi" w:hAnsi="Minion Pro" w:cstheme="minorBidi"/>
        </w:rPr>
        <w:t xml:space="preserve"> (4th ed.). SAGE Publications. https://doi.org/10.4135/9781071878781</w:t>
      </w:r>
    </w:p>
    <w:p w14:paraId="4FF1B126"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Lane, J. D., Wellman, H. M., &amp; Evans, E. M. (2010). Children's understanding of ordinary and extraordinary minds. </w:t>
      </w:r>
      <w:r>
        <w:rPr>
          <w:rFonts w:ascii="Minion Pro" w:eastAsiaTheme="minorHAnsi" w:hAnsi="Minion Pro" w:cstheme="minorBidi"/>
          <w:i/>
        </w:rPr>
        <w:t>Child Development, 81</w:t>
      </w:r>
      <w:r>
        <w:rPr>
          <w:rFonts w:ascii="Minion Pro" w:eastAsiaTheme="minorHAnsi" w:hAnsi="Minion Pro" w:cstheme="minorBidi"/>
        </w:rPr>
        <w:t>(5), 1475–1489. https://doi.org/10.1111/j.1467-8624.2010.01486.x</w:t>
      </w:r>
    </w:p>
    <w:p w14:paraId="0625E66F"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Ma'rifah, I., &amp; Asroni, A. (2024). Jean Piaget's constructivism in Islamic religious education. </w:t>
      </w:r>
      <w:r>
        <w:rPr>
          <w:rFonts w:ascii="Minion Pro" w:eastAsiaTheme="minorHAnsi" w:hAnsi="Minion Pro" w:cstheme="minorBidi"/>
          <w:i/>
        </w:rPr>
        <w:t>Edulab: Majalah Ilmiah Laboratorium Pendidikan, 9</w:t>
      </w:r>
      <w:r>
        <w:rPr>
          <w:rFonts w:ascii="Minion Pro" w:eastAsiaTheme="minorHAnsi" w:hAnsi="Minion Pro" w:cstheme="minorBidi"/>
        </w:rPr>
        <w:t>(1), 19–32. https://doi.org/10.14421/edulab.2024.91.02</w:t>
      </w:r>
    </w:p>
    <w:p w14:paraId="7705EBD0"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Majid, A. (2014). </w:t>
      </w:r>
      <w:r>
        <w:rPr>
          <w:rFonts w:ascii="Minion Pro" w:eastAsiaTheme="minorHAnsi" w:hAnsi="Minion Pro" w:cstheme="minorBidi"/>
          <w:i/>
        </w:rPr>
        <w:t>Belajar dan pembelajaran Pendidikan Agama Islam</w:t>
      </w:r>
      <w:r>
        <w:rPr>
          <w:rFonts w:ascii="Minion Pro" w:eastAsiaTheme="minorHAnsi" w:hAnsi="Minion Pro" w:cstheme="minorBidi"/>
        </w:rPr>
        <w:t>. Remaja Rosdakarya.</w:t>
      </w:r>
    </w:p>
    <w:p w14:paraId="3934934F"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Muamanah, H., &amp; Suyadi. (2020). Pelaksanaan teori belajar bermakna David Ausubel dalam pembelajaran Pendidikan Agama Islam. </w:t>
      </w:r>
      <w:r>
        <w:rPr>
          <w:rFonts w:ascii="Minion Pro" w:eastAsiaTheme="minorHAnsi" w:hAnsi="Minion Pro" w:cstheme="minorBidi"/>
          <w:i/>
        </w:rPr>
        <w:t>Belajea: Jurnal Pendidikan Islam, 5</w:t>
      </w:r>
      <w:r>
        <w:rPr>
          <w:rFonts w:ascii="Minion Pro" w:eastAsiaTheme="minorHAnsi" w:hAnsi="Minion Pro" w:cstheme="minorBidi"/>
        </w:rPr>
        <w:t>(1), 161–180. https://doi.org/10.29240/belajea.v5i1.1329</w:t>
      </w:r>
    </w:p>
    <w:p w14:paraId="31040435"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Page, M. J., McKenzie, J. E., Bossuyt, P. M., Boutron, I., Hoffmann, T. C., Mulrow, C. D., Shamseer, L., Tetzlaff, J. M., Akl, E. A., Brennan, S. E., Chou, R., Glanville, J., Grimshaw, J. M., Hróbjartsson, A., Lalu, M. M., Li, T., Loder, E. W., Mayo-Wilson, E., McDonald, S., … Moher, D. (2021). The PRISMA 2020 statement: An updated guideline for reporting systematic reviews. </w:t>
      </w:r>
      <w:r>
        <w:rPr>
          <w:rFonts w:ascii="Minion Pro" w:eastAsiaTheme="minorHAnsi" w:hAnsi="Minion Pro" w:cstheme="minorBidi"/>
          <w:i/>
        </w:rPr>
        <w:t>BMJ, 372</w:t>
      </w:r>
      <w:r>
        <w:rPr>
          <w:rFonts w:ascii="Minion Pro" w:eastAsiaTheme="minorHAnsi" w:hAnsi="Minion Pro" w:cstheme="minorBidi"/>
        </w:rPr>
        <w:t>, Article n71. https://doi.org/10.1136/bmj.n71</w:t>
      </w:r>
    </w:p>
    <w:p w14:paraId="02223C2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Piaget, J. (1970). </w:t>
      </w:r>
      <w:r>
        <w:rPr>
          <w:rFonts w:ascii="Minion Pro" w:eastAsiaTheme="minorHAnsi" w:hAnsi="Minion Pro" w:cstheme="minorBidi"/>
          <w:i/>
        </w:rPr>
        <w:t>Science of education and the psychology of the child</w:t>
      </w:r>
      <w:r>
        <w:rPr>
          <w:rFonts w:ascii="Minion Pro" w:eastAsiaTheme="minorHAnsi" w:hAnsi="Minion Pro" w:cstheme="minorBidi"/>
        </w:rPr>
        <w:t>. Orion Press.</w:t>
      </w:r>
    </w:p>
    <w:p w14:paraId="766B326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lastRenderedPageBreak/>
        <w:t xml:space="preserve">Posner, G. J., Strike, K. A., Hewson, P. W., &amp; Gertzog, W. A. (1982). Accommodation of a scientific conception: Toward a theory of conceptual change. </w:t>
      </w:r>
      <w:r>
        <w:rPr>
          <w:rFonts w:ascii="Minion Pro" w:eastAsiaTheme="minorHAnsi" w:hAnsi="Minion Pro" w:cstheme="minorBidi"/>
          <w:i/>
        </w:rPr>
        <w:t>Science Education, 66</w:t>
      </w:r>
      <w:r>
        <w:rPr>
          <w:rFonts w:ascii="Minion Pro" w:eastAsiaTheme="minorHAnsi" w:hAnsi="Minion Pro" w:cstheme="minorBidi"/>
        </w:rPr>
        <w:t>(2), 211–227. https://doi.org/10.1002/sce.3730660207</w:t>
      </w:r>
    </w:p>
    <w:p w14:paraId="097AACF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Richert, R. A., &amp; Harris, P. L. (2006). The ghost in my body: Children's developing concept of the soul. </w:t>
      </w:r>
      <w:r>
        <w:rPr>
          <w:rFonts w:ascii="Minion Pro" w:eastAsiaTheme="minorHAnsi" w:hAnsi="Minion Pro" w:cstheme="minorBidi"/>
          <w:i/>
        </w:rPr>
        <w:t>Journal of Cognition and Culture, 6</w:t>
      </w:r>
      <w:r>
        <w:rPr>
          <w:rFonts w:ascii="Minion Pro" w:eastAsiaTheme="minorHAnsi" w:hAnsi="Minion Pro" w:cstheme="minorBidi"/>
        </w:rPr>
        <w:t>(3–4), 409–427. https://doi.org/10.1163/156853706778554913</w:t>
      </w:r>
    </w:p>
    <w:p w14:paraId="424B163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Sadler, P. M., Sonnert, G., Coyle, H. P., Cook-Smith, N., &amp; Miller, J. L. (2013). The influence of teachers' knowledge on student learning in middle school physical science classrooms. </w:t>
      </w:r>
      <w:r>
        <w:rPr>
          <w:rFonts w:ascii="Minion Pro" w:eastAsiaTheme="minorHAnsi" w:hAnsi="Minion Pro" w:cstheme="minorBidi"/>
          <w:i/>
        </w:rPr>
        <w:t>American Educational Research Journal, 50</w:t>
      </w:r>
      <w:r>
        <w:rPr>
          <w:rFonts w:ascii="Minion Pro" w:eastAsiaTheme="minorHAnsi" w:hAnsi="Minion Pro" w:cstheme="minorBidi"/>
        </w:rPr>
        <w:t>(5), 1020–1049. https://doi.org/10.3102/0002831213477680</w:t>
      </w:r>
    </w:p>
    <w:p w14:paraId="55A10211"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Sahin, A. (2018). Critical issues in Islamic education studies: Rethinking Islamic and Western liberal secular values of education. </w:t>
      </w:r>
      <w:r>
        <w:rPr>
          <w:rFonts w:ascii="Minion Pro" w:eastAsiaTheme="minorHAnsi" w:hAnsi="Minion Pro" w:cstheme="minorBidi"/>
          <w:i/>
        </w:rPr>
        <w:t>Religions, 9</w:t>
      </w:r>
      <w:r>
        <w:rPr>
          <w:rFonts w:ascii="Minion Pro" w:eastAsiaTheme="minorHAnsi" w:hAnsi="Minion Pro" w:cstheme="minorBidi"/>
        </w:rPr>
        <w:t>(11), Article 335. https://doi.org/10.3390/rel9110335</w:t>
      </w:r>
    </w:p>
    <w:p w14:paraId="1CD93333"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Salamat, N. S., Fakhruddin, A., Firmansyah, M. I., &amp; Muflih, A. (2026). The complementary roles of Qur'an education center and elementary schools in strengthening Islamic religious education. </w:t>
      </w:r>
      <w:r>
        <w:rPr>
          <w:rFonts w:ascii="Minion Pro" w:eastAsiaTheme="minorHAnsi" w:hAnsi="Minion Pro" w:cstheme="minorBidi"/>
          <w:i/>
        </w:rPr>
        <w:t>Al-Adzka: Jurnal Ilmiah Pendidikan Guru Madrasah Ibtidaiyah, 16</w:t>
      </w:r>
      <w:r>
        <w:rPr>
          <w:rFonts w:ascii="Minion Pro" w:eastAsiaTheme="minorHAnsi" w:hAnsi="Minion Pro" w:cstheme="minorBidi"/>
        </w:rPr>
        <w:t>(1), 1–15. https://doi.org/10.18592/aladzkapgmi.v16i1.19940</w:t>
      </w:r>
    </w:p>
    <w:p w14:paraId="538DEA04"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Shulman, L. S. (1986). Those who understand: Knowledge growth in teaching. </w:t>
      </w:r>
      <w:r>
        <w:rPr>
          <w:rFonts w:ascii="Minion Pro" w:eastAsiaTheme="minorHAnsi" w:hAnsi="Minion Pro" w:cstheme="minorBidi"/>
          <w:i/>
        </w:rPr>
        <w:t>Educational Researcher, 15</w:t>
      </w:r>
      <w:r>
        <w:rPr>
          <w:rFonts w:ascii="Minion Pro" w:eastAsiaTheme="minorHAnsi" w:hAnsi="Minion Pro" w:cstheme="minorBidi"/>
        </w:rPr>
        <w:t>(2), 4–14. https://doi.org/10.3102/0013189X015002004</w:t>
      </w:r>
    </w:p>
    <w:p w14:paraId="06578807"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Smith, J. P., diSessa, A. A., &amp; Roschelle, J. (1993). Misconceptions reconceived: A constructivist analysis of knowledge in transition. </w:t>
      </w:r>
      <w:r>
        <w:rPr>
          <w:rFonts w:ascii="Minion Pro" w:eastAsiaTheme="minorHAnsi" w:hAnsi="Minion Pro" w:cstheme="minorBidi"/>
          <w:i/>
        </w:rPr>
        <w:t>Journal of the Learning Sciences, 3</w:t>
      </w:r>
      <w:r>
        <w:rPr>
          <w:rFonts w:ascii="Minion Pro" w:eastAsiaTheme="minorHAnsi" w:hAnsi="Minion Pro" w:cstheme="minorBidi"/>
        </w:rPr>
        <w:t>(2), 115–163. https://doi.org/10.1207/s15327809jls0302_1</w:t>
      </w:r>
    </w:p>
    <w:p w14:paraId="670A2F96"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Snyder, H. (2019). Literature review as a research methodology: An overview and guidelines. </w:t>
      </w:r>
      <w:r>
        <w:rPr>
          <w:rFonts w:ascii="Minion Pro" w:eastAsiaTheme="minorHAnsi" w:hAnsi="Minion Pro" w:cstheme="minorBidi"/>
          <w:i/>
        </w:rPr>
        <w:t>Journal of Business Research, 104</w:t>
      </w:r>
      <w:r>
        <w:rPr>
          <w:rFonts w:ascii="Minion Pro" w:eastAsiaTheme="minorHAnsi" w:hAnsi="Minion Pro" w:cstheme="minorBidi"/>
        </w:rPr>
        <w:t>, 333–339. https://doi.org/10.1016/j.jbusres.2019.07.039</w:t>
      </w:r>
    </w:p>
    <w:p w14:paraId="0CD06C6E"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Suparno, P. (2013). </w:t>
      </w:r>
      <w:r>
        <w:rPr>
          <w:rFonts w:ascii="Minion Pro" w:eastAsiaTheme="minorHAnsi" w:hAnsi="Minion Pro" w:cstheme="minorBidi"/>
          <w:i/>
        </w:rPr>
        <w:t>Miskonsepsi dan perubahan konsep dalam pendidikan fisika</w:t>
      </w:r>
      <w:r>
        <w:rPr>
          <w:rFonts w:ascii="Minion Pro" w:eastAsiaTheme="minorHAnsi" w:hAnsi="Minion Pro" w:cstheme="minorBidi"/>
        </w:rPr>
        <w:t>. Grasindo.</w:t>
      </w:r>
    </w:p>
    <w:p w14:paraId="32DC70C2"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Syuhud, &amp; Farid, A. (2024). Aktualisasi teori belajar kognitif dalam Pendidikan Agama Islam pada Kurikulum Merdeka: Tinjauan konseptual dan implikatif. </w:t>
      </w:r>
      <w:r>
        <w:rPr>
          <w:rFonts w:ascii="Minion Pro" w:eastAsiaTheme="minorHAnsi" w:hAnsi="Minion Pro" w:cstheme="minorBidi"/>
          <w:i/>
        </w:rPr>
        <w:t>Al-Adabiyah: Jurnal Pendidikan Agama Islam, 5</w:t>
      </w:r>
      <w:r>
        <w:rPr>
          <w:rFonts w:ascii="Minion Pro" w:eastAsiaTheme="minorHAnsi" w:hAnsi="Minion Pro" w:cstheme="minorBidi"/>
        </w:rPr>
        <w:t>(2), 112–125. https://doi.org/10.35719/adabiyah.v5i2.923</w:t>
      </w:r>
    </w:p>
    <w:p w14:paraId="4DDE902D"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Tippett, C. D. (2010). Refutation text in science education: A review of two decades of research. </w:t>
      </w:r>
      <w:r>
        <w:rPr>
          <w:rFonts w:ascii="Minion Pro" w:eastAsiaTheme="minorHAnsi" w:hAnsi="Minion Pro" w:cstheme="minorBidi"/>
          <w:i/>
        </w:rPr>
        <w:t>International Journal of Science and Mathematics Education, 8</w:t>
      </w:r>
      <w:r>
        <w:rPr>
          <w:rFonts w:ascii="Minion Pro" w:eastAsiaTheme="minorHAnsi" w:hAnsi="Minion Pro" w:cstheme="minorBidi"/>
        </w:rPr>
        <w:t>(6), 951–970. https://doi.org/10.1007/s10763-010-9203-x</w:t>
      </w:r>
    </w:p>
    <w:p w14:paraId="6E4DF60C"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Torraco, R. J. (2005). Writing integrative literature reviews: Guidelines and examples. </w:t>
      </w:r>
      <w:r>
        <w:rPr>
          <w:rFonts w:ascii="Minion Pro" w:eastAsiaTheme="minorHAnsi" w:hAnsi="Minion Pro" w:cstheme="minorBidi"/>
          <w:i/>
        </w:rPr>
        <w:t>Human Resource Development Review, 4</w:t>
      </w:r>
      <w:r>
        <w:rPr>
          <w:rFonts w:ascii="Minion Pro" w:eastAsiaTheme="minorHAnsi" w:hAnsi="Minion Pro" w:cstheme="minorBidi"/>
        </w:rPr>
        <w:t>(3), 356–367. https://doi.org/10.1177/1534484305278283</w:t>
      </w:r>
    </w:p>
    <w:p w14:paraId="3FE5132F"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Treagust, D. F. (1988). Development and use of diagnostic tests to evaluate students' misconceptions in science. </w:t>
      </w:r>
      <w:r>
        <w:rPr>
          <w:rFonts w:ascii="Minion Pro" w:eastAsiaTheme="minorHAnsi" w:hAnsi="Minion Pro" w:cstheme="minorBidi"/>
          <w:i/>
        </w:rPr>
        <w:t>International Journal of Science Education, 10</w:t>
      </w:r>
      <w:r>
        <w:rPr>
          <w:rFonts w:ascii="Minion Pro" w:eastAsiaTheme="minorHAnsi" w:hAnsi="Minion Pro" w:cstheme="minorBidi"/>
        </w:rPr>
        <w:t>(2), 159–169. https://doi.org/10.1080/0950069880100204</w:t>
      </w:r>
    </w:p>
    <w:p w14:paraId="521DD068"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Undang-Undang Republik Indonesia Nomor 14 Tahun 2005 tentang Guru dan Dosen. (2005). Lembaran Negara Republik Indonesia Tahun 2005 Nomor 157.</w:t>
      </w:r>
    </w:p>
    <w:p w14:paraId="5CD119EB"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Vosniadou, S. (1994). Capturing and modeling the process of conceptual change. </w:t>
      </w:r>
      <w:r>
        <w:rPr>
          <w:rFonts w:ascii="Minion Pro" w:eastAsiaTheme="minorHAnsi" w:hAnsi="Minion Pro" w:cstheme="minorBidi"/>
          <w:i/>
        </w:rPr>
        <w:t>Learning and Instruction, 4</w:t>
      </w:r>
      <w:r>
        <w:rPr>
          <w:rFonts w:ascii="Minion Pro" w:eastAsiaTheme="minorHAnsi" w:hAnsi="Minion Pro" w:cstheme="minorBidi"/>
        </w:rPr>
        <w:t>(1), 45–69. https://doi.org/10.1016/0959-4752(94)90018-3</w:t>
      </w:r>
    </w:p>
    <w:p w14:paraId="5CDC3B0A"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lastRenderedPageBreak/>
        <w:t xml:space="preserve">Vygotsky, L. S. (1978). </w:t>
      </w:r>
      <w:r>
        <w:rPr>
          <w:rFonts w:ascii="Minion Pro" w:eastAsiaTheme="minorHAnsi" w:hAnsi="Minion Pro" w:cstheme="minorBidi"/>
          <w:i/>
        </w:rPr>
        <w:t>Mind in society: The development of higher psychological processes</w:t>
      </w:r>
      <w:r>
        <w:rPr>
          <w:rFonts w:ascii="Minion Pro" w:eastAsiaTheme="minorHAnsi" w:hAnsi="Minion Pro" w:cstheme="minorBidi"/>
        </w:rPr>
        <w:t xml:space="preserve"> (M. Cole, V. John-Steiner, S. Scribner, &amp; E. Souberman, Eds.). Harvard University Press.</w:t>
      </w:r>
    </w:p>
    <w:p w14:paraId="07D1D357"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Whittemore, R., &amp; Knafl, K. (2005). The integrative review: Updated methodology. </w:t>
      </w:r>
      <w:r>
        <w:rPr>
          <w:rFonts w:ascii="Minion Pro" w:eastAsiaTheme="minorHAnsi" w:hAnsi="Minion Pro" w:cstheme="minorBidi"/>
          <w:i/>
        </w:rPr>
        <w:t>Journal of Advanced Nursing, 52</w:t>
      </w:r>
      <w:r>
        <w:rPr>
          <w:rFonts w:ascii="Minion Pro" w:eastAsiaTheme="minorHAnsi" w:hAnsi="Minion Pro" w:cstheme="minorBidi"/>
        </w:rPr>
        <w:t>(5), 546–553. https://doi.org/10.1111/j.1365-2648.2005.03621.x</w:t>
      </w:r>
    </w:p>
    <w:p w14:paraId="17A568E1" w14:textId="77777777" w:rsidR="00F618F2" w:rsidRDefault="00000000" w:rsidP="00BF4A67">
      <w:pPr>
        <w:pStyle w:val="NormalWeb"/>
        <w:spacing w:before="0" w:beforeAutospacing="0" w:after="0" w:afterAutospacing="0"/>
        <w:ind w:left="567" w:hanging="567"/>
        <w:jc w:val="both"/>
        <w:rPr>
          <w:rFonts w:ascii="Minion Pro" w:eastAsiaTheme="minorHAnsi" w:hAnsi="Minion Pro" w:cstheme="minorBidi"/>
        </w:rPr>
      </w:pPr>
      <w:r>
        <w:rPr>
          <w:rFonts w:ascii="Minion Pro" w:eastAsiaTheme="minorHAnsi" w:hAnsi="Minion Pro" w:cstheme="minorBidi"/>
        </w:rPr>
        <w:t xml:space="preserve">Zuhdi, M. (2006). Modernization of Indonesian Islamic schools' curricula, 1945–2003. </w:t>
      </w:r>
      <w:r>
        <w:rPr>
          <w:rFonts w:ascii="Minion Pro" w:eastAsiaTheme="minorHAnsi" w:hAnsi="Minion Pro" w:cstheme="minorBidi"/>
          <w:i/>
        </w:rPr>
        <w:t>International Journal of Inclusive Education, 10</w:t>
      </w:r>
      <w:r>
        <w:rPr>
          <w:rFonts w:ascii="Minion Pro" w:eastAsiaTheme="minorHAnsi" w:hAnsi="Minion Pro" w:cstheme="minorBidi"/>
        </w:rPr>
        <w:t>(4–5), 415–427. https://doi.org/10.1080/13603110500430765</w:t>
      </w:r>
    </w:p>
    <w:sectPr w:rsidR="00F618F2" w:rsidSect="004E40D9">
      <w:headerReference w:type="even" r:id="rId14"/>
      <w:headerReference w:type="default" r:id="rId15"/>
      <w:footerReference w:type="even" r:id="rId16"/>
      <w:footerReference w:type="default" r:id="rId17"/>
      <w:footerReference w:type="first" r:id="rId18"/>
      <w:type w:val="continuous"/>
      <w:pgSz w:w="11907" w:h="15593"/>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FFE30" w14:textId="77777777" w:rsidR="00860B87" w:rsidRDefault="00860B87" w:rsidP="00832198">
      <w:pPr>
        <w:spacing w:after="0" w:line="240" w:lineRule="auto"/>
      </w:pPr>
      <w:r>
        <w:separator/>
      </w:r>
    </w:p>
  </w:endnote>
  <w:endnote w:type="continuationSeparator" w:id="0">
    <w:p w14:paraId="17AF61C8" w14:textId="77777777" w:rsidR="00860B87" w:rsidRDefault="00860B87" w:rsidP="0083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E00002AF" w:usb1="5000E07B" w:usb2="00000000" w:usb3="00000000" w:csb0="0000019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inion Pro" w:hAnsi="Minion Pro"/>
      </w:rPr>
      <w:id w:val="138900113"/>
      <w:docPartObj>
        <w:docPartGallery w:val="AutoText"/>
      </w:docPartObj>
    </w:sdtPr>
    <w:sdtContent>
      <w:p w14:paraId="6E08A16E" w14:textId="77777777" w:rsidR="001018F6" w:rsidRDefault="001018F6" w:rsidP="000318A4">
        <w:pPr>
          <w:pStyle w:val="Footer"/>
          <w:tabs>
            <w:tab w:val="left" w:pos="2880"/>
          </w:tabs>
          <w:rPr>
            <w:rFonts w:ascii="Minion Pro" w:hAnsi="Minion Pro"/>
          </w:rPr>
        </w:pPr>
        <w:r>
          <w:rPr>
            <w:rFonts w:ascii="Minion Pro" w:hAnsi="Minion Pro"/>
          </w:rPr>
          <w:fldChar w:fldCharType="begin"/>
        </w:r>
        <w:r>
          <w:rPr>
            <w:rFonts w:ascii="Minion Pro" w:hAnsi="Minion Pro"/>
          </w:rPr>
          <w:instrText xml:space="preserve"> PAGE   \* MERGEFORMAT </w:instrText>
        </w:r>
        <w:r>
          <w:rPr>
            <w:rFonts w:ascii="Minion Pro" w:hAnsi="Minion Pro"/>
          </w:rPr>
          <w:fldChar w:fldCharType="separate"/>
        </w:r>
        <w:r>
          <w:rPr>
            <w:rFonts w:ascii="Minion Pro" w:hAnsi="Minion Pro"/>
            <w:noProof/>
          </w:rPr>
          <w:t>26</w:t>
        </w:r>
        <w:r>
          <w:rPr>
            <w:rFonts w:ascii="Minion Pro" w:hAnsi="Minion Pro"/>
          </w:rPr>
          <w:fldChar w:fldCharType="end"/>
        </w:r>
        <w:r>
          <w:rPr>
            <w:rFonts w:ascii="Minion Pro" w:hAnsi="Minion Pro"/>
          </w:rPr>
          <w:tab/>
        </w:r>
        <w:r>
          <w:rPr>
            <w:rFonts w:ascii="Minion Pro" w:hAnsi="Minion Pro"/>
            <w:i/>
          </w:rPr>
          <w:t>Borneo Journal of Primary Education, Volume 3 (1), 2023</w:t>
        </w:r>
      </w:p>
    </w:sdtContent>
  </w:sdt>
  <w:p w14:paraId="5C25F50A" w14:textId="77777777" w:rsidR="001018F6" w:rsidRDefault="001018F6">
    <w:pPr>
      <w:pStyle w:val="Footer"/>
      <w:rPr>
        <w:rFonts w:ascii="Adobe Garamond Pro" w:hAnsi="Adobe Garamond Pro"/>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inion Pro" w:hAnsi="Minion Pro"/>
        <w:sz w:val="20"/>
        <w:szCs w:val="20"/>
      </w:rPr>
      <w:id w:val="742002149"/>
      <w:docPartObj>
        <w:docPartGallery w:val="Page Numbers (Bottom of Page)"/>
        <w:docPartUnique/>
      </w:docPartObj>
    </w:sdtPr>
    <w:sdtEndPr>
      <w:rPr>
        <w:noProof/>
      </w:rPr>
    </w:sdtEndPr>
    <w:sdtContent>
      <w:p w14:paraId="3FCE70DD" w14:textId="64F7D94B" w:rsidR="001018F6" w:rsidRPr="004E40D9" w:rsidRDefault="001018F6" w:rsidP="004E40D9">
        <w:pPr>
          <w:pStyle w:val="Footer"/>
          <w:rPr>
            <w:rFonts w:ascii="Minion Pro" w:hAnsi="Minion Pro"/>
            <w:sz w:val="20"/>
            <w:szCs w:val="20"/>
          </w:rPr>
        </w:pPr>
        <w:r>
          <w:rPr>
            <w:rFonts w:ascii="Minion Pro" w:hAnsi="Minion Pro"/>
            <w:noProof/>
            <w:sz w:val="20"/>
            <w:szCs w:val="20"/>
          </w:rPr>
          <mc:AlternateContent>
            <mc:Choice Requires="wps">
              <w:drawing>
                <wp:anchor distT="0" distB="0" distL="114300" distR="114300" simplePos="0" relativeHeight="251659264" behindDoc="0" locked="0" layoutInCell="1" allowOverlap="1" wp14:anchorId="1559F251" wp14:editId="19B7073C">
                  <wp:simplePos x="0" y="0"/>
                  <wp:positionH relativeFrom="column">
                    <wp:posOffset>-1024255</wp:posOffset>
                  </wp:positionH>
                  <wp:positionV relativeFrom="paragraph">
                    <wp:posOffset>-134620</wp:posOffset>
                  </wp:positionV>
                  <wp:extent cx="7800975" cy="0"/>
                  <wp:effectExtent l="0" t="19050" r="28575" b="19050"/>
                  <wp:wrapNone/>
                  <wp:docPr id="8" name="Straight Connector 8"/>
                  <wp:cNvGraphicFramePr/>
                  <a:graphic xmlns:a="http://schemas.openxmlformats.org/drawingml/2006/main">
                    <a:graphicData uri="http://schemas.microsoft.com/office/word/2010/wordprocessingShape">
                      <wps:wsp>
                        <wps:cNvCnPr/>
                        <wps:spPr>
                          <a:xfrm>
                            <a:off x="0" y="0"/>
                            <a:ext cx="7800975" cy="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0CB933F"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65pt,-10.6pt" to="533.6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" strokecolor="#ed7d31 [3205]" strokeweight="2.25pt">
                  <v:stroke joinstyle="miter"/>
                </v:line>
              </w:pict>
            </mc:Fallback>
          </mc:AlternateContent>
        </w:r>
        <w:sdt>
          <w:sdtPr>
            <w:rPr>
              <w:rFonts w:ascii="Minion Pro" w:hAnsi="Minion Pro"/>
              <w:sz w:val="20"/>
              <w:szCs w:val="20"/>
            </w:rPr>
            <w:id w:val="138900114"/>
            <w:docPartObj>
              <w:docPartGallery w:val="AutoText"/>
            </w:docPartObj>
          </w:sdtPr>
          <w:sdtContent>
            <w:r w:rsidRPr="004E40D9">
              <w:rPr>
                <w:rFonts w:ascii="Minion Pro" w:hAnsi="Minion Pro"/>
                <w:i/>
                <w:sz w:val="20"/>
                <w:szCs w:val="20"/>
              </w:rPr>
              <w:t xml:space="preserve">Borneo Journal of Primary Education, Volume </w:t>
            </w:r>
            <w:r w:rsidR="00BF4A67">
              <w:rPr>
                <w:rFonts w:ascii="Minion Pro" w:hAnsi="Minion Pro"/>
                <w:i/>
                <w:sz w:val="20"/>
                <w:szCs w:val="20"/>
                <w:lang w:val="id-ID"/>
              </w:rPr>
              <w:t>6</w:t>
            </w:r>
            <w:r w:rsidRPr="004E40D9">
              <w:rPr>
                <w:rFonts w:ascii="Minion Pro" w:hAnsi="Minion Pro"/>
                <w:i/>
                <w:sz w:val="20"/>
                <w:szCs w:val="20"/>
              </w:rPr>
              <w:t xml:space="preserve"> (</w:t>
            </w:r>
            <w:r w:rsidR="00BF4A67">
              <w:rPr>
                <w:rFonts w:ascii="Minion Pro" w:hAnsi="Minion Pro"/>
                <w:i/>
                <w:sz w:val="20"/>
                <w:szCs w:val="20"/>
              </w:rPr>
              <w:t>2</w:t>
            </w:r>
            <w:r w:rsidRPr="004E40D9">
              <w:rPr>
                <w:rFonts w:ascii="Minion Pro" w:hAnsi="Minion Pro"/>
                <w:i/>
                <w:sz w:val="20"/>
                <w:szCs w:val="20"/>
              </w:rPr>
              <w:t>), 202</w:t>
            </w:r>
            <w:r w:rsidR="00BF4A67">
              <w:rPr>
                <w:rFonts w:ascii="Minion Pro" w:hAnsi="Minion Pro"/>
                <w:i/>
                <w:sz w:val="20"/>
                <w:szCs w:val="20"/>
              </w:rPr>
              <w:t>6</w:t>
            </w:r>
          </w:sdtContent>
        </w:sdt>
        <w:r w:rsidRPr="004E40D9">
          <w:rPr>
            <w:rFonts w:ascii="Minion Pro" w:hAnsi="Minion Pro"/>
            <w:sz w:val="20"/>
            <w:szCs w:val="20"/>
          </w:rPr>
          <w:tab/>
        </w:r>
        <w:r>
          <w:rPr>
            <w:rFonts w:ascii="Minion Pro" w:hAnsi="Minion Pro"/>
            <w:sz w:val="20"/>
            <w:szCs w:val="20"/>
          </w:rPr>
          <w:tab/>
        </w:r>
        <w:r w:rsidRPr="004E40D9">
          <w:rPr>
            <w:rFonts w:ascii="Minion Pro" w:hAnsi="Minion Pro"/>
            <w:sz w:val="20"/>
            <w:szCs w:val="20"/>
          </w:rPr>
          <w:fldChar w:fldCharType="begin"/>
        </w:r>
        <w:r w:rsidRPr="004E40D9">
          <w:rPr>
            <w:rFonts w:ascii="Minion Pro" w:hAnsi="Minion Pro"/>
            <w:sz w:val="20"/>
            <w:szCs w:val="20"/>
          </w:rPr>
          <w:instrText xml:space="preserve"> PAGE   \* MERGEFORMAT </w:instrText>
        </w:r>
        <w:r w:rsidRPr="004E40D9">
          <w:rPr>
            <w:rFonts w:ascii="Minion Pro" w:hAnsi="Minion Pro"/>
            <w:sz w:val="20"/>
            <w:szCs w:val="20"/>
          </w:rPr>
          <w:fldChar w:fldCharType="separate"/>
        </w:r>
        <w:r w:rsidR="004F1A5E">
          <w:rPr>
            <w:rFonts w:ascii="Minion Pro" w:hAnsi="Minion Pro"/>
            <w:noProof/>
            <w:sz w:val="20"/>
            <w:szCs w:val="20"/>
          </w:rPr>
          <w:t>3</w:t>
        </w:r>
        <w:r w:rsidRPr="004E40D9">
          <w:rPr>
            <w:rFonts w:ascii="Minion Pro" w:hAnsi="Minion Pro"/>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inion Pro" w:hAnsi="Minion Pro"/>
        <w:sz w:val="20"/>
        <w:szCs w:val="20"/>
      </w:rPr>
      <w:id w:val="540716263"/>
      <w:docPartObj>
        <w:docPartGallery w:val="Page Numbers (Bottom of Page)"/>
        <w:docPartUnique/>
      </w:docPartObj>
    </w:sdtPr>
    <w:sdtEndPr>
      <w:rPr>
        <w:noProof/>
      </w:rPr>
    </w:sdtEndPr>
    <w:sdtContent>
      <w:p w14:paraId="60465AB1" w14:textId="1048F2D6" w:rsidR="001018F6" w:rsidRPr="004E40D9" w:rsidRDefault="001018F6" w:rsidP="004E40D9">
        <w:pPr>
          <w:pStyle w:val="Footer"/>
          <w:rPr>
            <w:rFonts w:ascii="Minion Pro" w:hAnsi="Minion Pro"/>
            <w:sz w:val="20"/>
            <w:szCs w:val="20"/>
          </w:rPr>
        </w:pPr>
        <w:r w:rsidRPr="004E40D9">
          <w:rPr>
            <w:rFonts w:ascii="Minion Pro" w:hAnsi="Minion Pro"/>
            <w:i/>
            <w:sz w:val="20"/>
            <w:szCs w:val="20"/>
          </w:rPr>
          <w:t xml:space="preserve">Borneo Journal of Primary Education, Volume </w:t>
        </w:r>
        <w:r w:rsidR="00BF4A67">
          <w:rPr>
            <w:rFonts w:ascii="Minion Pro" w:hAnsi="Minion Pro"/>
            <w:i/>
            <w:sz w:val="20"/>
            <w:szCs w:val="20"/>
          </w:rPr>
          <w:t>6</w:t>
        </w:r>
        <w:r w:rsidRPr="004E40D9">
          <w:rPr>
            <w:rFonts w:ascii="Minion Pro" w:hAnsi="Minion Pro"/>
            <w:i/>
            <w:sz w:val="20"/>
            <w:szCs w:val="20"/>
          </w:rPr>
          <w:t xml:space="preserve"> (</w:t>
        </w:r>
        <w:r w:rsidR="00BF4A67">
          <w:rPr>
            <w:rFonts w:ascii="Minion Pro" w:hAnsi="Minion Pro"/>
            <w:i/>
            <w:sz w:val="20"/>
            <w:szCs w:val="20"/>
          </w:rPr>
          <w:t>2</w:t>
        </w:r>
        <w:r w:rsidRPr="004E40D9">
          <w:rPr>
            <w:rFonts w:ascii="Minion Pro" w:hAnsi="Minion Pro"/>
            <w:i/>
            <w:sz w:val="20"/>
            <w:szCs w:val="20"/>
          </w:rPr>
          <w:t>), 202</w:t>
        </w:r>
        <w:r w:rsidR="00BF4A67">
          <w:rPr>
            <w:rFonts w:ascii="Minion Pro" w:hAnsi="Minion Pro"/>
            <w:i/>
            <w:sz w:val="20"/>
            <w:szCs w:val="20"/>
          </w:rPr>
          <w:t>6</w:t>
        </w:r>
        <w:r w:rsidRPr="004E40D9">
          <w:rPr>
            <w:rFonts w:ascii="Minion Pro" w:hAnsi="Minion Pro"/>
            <w:i/>
            <w:sz w:val="20"/>
            <w:szCs w:val="20"/>
          </w:rPr>
          <w:tab/>
        </w:r>
        <w:r>
          <w:rPr>
            <w:rFonts w:ascii="Minion Pro" w:hAnsi="Minion Pro"/>
            <w:i/>
            <w:sz w:val="20"/>
            <w:szCs w:val="20"/>
          </w:rPr>
          <w:tab/>
        </w:r>
        <w:r w:rsidRPr="004E40D9">
          <w:rPr>
            <w:rFonts w:ascii="Minion Pro" w:hAnsi="Minion Pro"/>
            <w:sz w:val="20"/>
            <w:szCs w:val="20"/>
          </w:rPr>
          <w:fldChar w:fldCharType="begin"/>
        </w:r>
        <w:r w:rsidRPr="004E40D9">
          <w:rPr>
            <w:rFonts w:ascii="Minion Pro" w:hAnsi="Minion Pro"/>
            <w:sz w:val="20"/>
            <w:szCs w:val="20"/>
          </w:rPr>
          <w:instrText xml:space="preserve"> PAGE   \* MERGEFORMAT </w:instrText>
        </w:r>
        <w:r w:rsidRPr="004E40D9">
          <w:rPr>
            <w:rFonts w:ascii="Minion Pro" w:hAnsi="Minion Pro"/>
            <w:sz w:val="20"/>
            <w:szCs w:val="20"/>
          </w:rPr>
          <w:fldChar w:fldCharType="separate"/>
        </w:r>
        <w:r w:rsidR="004F1A5E">
          <w:rPr>
            <w:rFonts w:ascii="Minion Pro" w:hAnsi="Minion Pro"/>
            <w:noProof/>
            <w:sz w:val="20"/>
            <w:szCs w:val="20"/>
          </w:rPr>
          <w:t>1</w:t>
        </w:r>
        <w:r w:rsidRPr="004E40D9">
          <w:rPr>
            <w:rFonts w:ascii="Minion Pro" w:hAnsi="Minion Pro"/>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29064" w14:textId="77777777" w:rsidR="00860B87" w:rsidRDefault="00860B87" w:rsidP="00832198">
      <w:pPr>
        <w:spacing w:after="0" w:line="240" w:lineRule="auto"/>
      </w:pPr>
      <w:r>
        <w:separator/>
      </w:r>
    </w:p>
  </w:footnote>
  <w:footnote w:type="continuationSeparator" w:id="0">
    <w:p w14:paraId="343AB403" w14:textId="77777777" w:rsidR="00860B87" w:rsidRDefault="00860B87" w:rsidP="008321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A66B7" w14:textId="77777777" w:rsidR="001018F6" w:rsidRDefault="001018F6">
    <w:pPr>
      <w:pStyle w:val="Header"/>
    </w:pPr>
    <w:r>
      <w:rPr>
        <w:rFonts w:ascii="Minion Pro" w:hAnsi="Minion Pro" w:cs="Times New Roman"/>
        <w:i/>
      </w:rPr>
      <w:t>Ilyas Rozak Hanafi, Hasbullah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B52F" w14:textId="77777777" w:rsidR="001018F6" w:rsidRDefault="001018F6" w:rsidP="002E162F">
    <w:pPr>
      <w:pStyle w:val="Header"/>
      <w:jc w:val="right"/>
      <w:rPr>
        <w:rFonts w:ascii="Minion Pro" w:hAnsi="Minion Pro"/>
        <w:i/>
        <w:iCs/>
      </w:rPr>
    </w:pPr>
    <w:r w:rsidRPr="00310B80">
      <w:rPr>
        <w:rFonts w:ascii="Minion Pro" w:hAnsi="Minion Pro"/>
        <w:i/>
        <w:iCs/>
        <w:noProof/>
      </w:rPr>
      <mc:AlternateContent>
        <mc:Choice Requires="wps">
          <w:drawing>
            <wp:anchor distT="0" distB="0" distL="114300" distR="114300" simplePos="0" relativeHeight="251657216" behindDoc="0" locked="0" layoutInCell="1" allowOverlap="1" wp14:anchorId="1EB1F370" wp14:editId="595B2C15">
              <wp:simplePos x="0" y="0"/>
              <wp:positionH relativeFrom="column">
                <wp:posOffset>-890905</wp:posOffset>
              </wp:positionH>
              <wp:positionV relativeFrom="paragraph">
                <wp:posOffset>407035</wp:posOffset>
              </wp:positionV>
              <wp:extent cx="7600950" cy="0"/>
              <wp:effectExtent l="0" t="19050" r="19050" b="19050"/>
              <wp:wrapNone/>
              <wp:docPr id="7" name="Straight Connector 7"/>
              <wp:cNvGraphicFramePr/>
              <a:graphic xmlns:a="http://schemas.openxmlformats.org/drawingml/2006/main">
                <a:graphicData uri="http://schemas.microsoft.com/office/word/2010/wordprocessingShape">
                  <wps:wsp>
                    <wps:cNvCnPr/>
                    <wps:spPr>
                      <a:xfrm>
                        <a:off x="0" y="0"/>
                        <a:ext cx="7600950" cy="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C9F65AB" id="Straight Connector 7"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70.15pt,32.05pt" to="528.3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" strokecolor="#ed7d31 [3205]" strokeweight="2.25pt">
              <v:stroke joinstyle="miter"/>
            </v:line>
          </w:pict>
        </mc:Fallback>
      </mc:AlternateContent>
    </w:r>
    <w:r>
      <w:rPr>
        <w:rFonts w:ascii="Minion Pro" w:hAnsi="Minion Pro"/>
        <w:i/>
        <w:iCs/>
        <w:lang w:val="id-ID"/>
      </w:rPr>
      <w:t>Strategi Guru PGMI dalam Mengatasi Miskonsepsi PAI</w:t>
    </w:r>
    <w:r>
      <w:rPr>
        <w:rFonts w:ascii="Minion Pro" w:hAnsi="Minion Pro"/>
        <w:i/>
        <w:iCs/>
        <w:lang w:val="id-ID"/>
      </w:rPr>
      <w:br/>
      <w:t>di Madrasah Ibtidaiyah: Tinjauan Pustaka Integratif</w:t>
    </w:r>
    <w:r w:rsidRPr="00310B80">
      <w:rPr>
        <w:rFonts w:ascii="Minion Pro" w:hAnsi="Minion Pro"/>
        <w:i/>
        <w:iCs/>
      </w:rPr>
      <w:t xml:space="preserve"> </w:t>
    </w:r>
  </w:p>
  <w:p w14:paraId="39FACDC7" w14:textId="77777777" w:rsidR="001018F6" w:rsidRPr="00A277EE" w:rsidRDefault="001018F6" w:rsidP="002E162F">
    <w:pPr>
      <w:pStyle w:val="Header"/>
      <w:jc w:val="right"/>
      <w:rPr>
        <w:rFonts w:ascii="Minion Pro" w:hAnsi="Minion Pro"/>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1274"/>
    <w:multiLevelType w:val="hybridMultilevel"/>
    <w:tmpl w:val="16E6DB92"/>
    <w:lvl w:ilvl="0" w:tplc="E8CC89BA">
      <w:start w:val="1"/>
      <w:numFmt w:val="decimal"/>
      <w:lvlText w:val="%1)"/>
      <w:lvlJc w:val="left"/>
      <w:pPr>
        <w:ind w:left="1530" w:hanging="360"/>
      </w:pPr>
      <w:rPr>
        <w:b w:val="0"/>
      </w:rPr>
    </w:lvl>
    <w:lvl w:ilvl="1" w:tplc="04210019" w:tentative="1">
      <w:start w:val="1"/>
      <w:numFmt w:val="lowerLetter"/>
      <w:lvlText w:val="%2."/>
      <w:lvlJc w:val="left"/>
      <w:pPr>
        <w:ind w:left="2250" w:hanging="360"/>
      </w:pPr>
    </w:lvl>
    <w:lvl w:ilvl="2" w:tplc="0421001B" w:tentative="1">
      <w:start w:val="1"/>
      <w:numFmt w:val="lowerRoman"/>
      <w:lvlText w:val="%3."/>
      <w:lvlJc w:val="right"/>
      <w:pPr>
        <w:ind w:left="2970" w:hanging="180"/>
      </w:pPr>
    </w:lvl>
    <w:lvl w:ilvl="3" w:tplc="0421000F" w:tentative="1">
      <w:start w:val="1"/>
      <w:numFmt w:val="decimal"/>
      <w:lvlText w:val="%4."/>
      <w:lvlJc w:val="left"/>
      <w:pPr>
        <w:ind w:left="3690" w:hanging="360"/>
      </w:pPr>
    </w:lvl>
    <w:lvl w:ilvl="4" w:tplc="04210019" w:tentative="1">
      <w:start w:val="1"/>
      <w:numFmt w:val="lowerLetter"/>
      <w:lvlText w:val="%5."/>
      <w:lvlJc w:val="left"/>
      <w:pPr>
        <w:ind w:left="4410" w:hanging="360"/>
      </w:pPr>
    </w:lvl>
    <w:lvl w:ilvl="5" w:tplc="0421001B" w:tentative="1">
      <w:start w:val="1"/>
      <w:numFmt w:val="lowerRoman"/>
      <w:lvlText w:val="%6."/>
      <w:lvlJc w:val="right"/>
      <w:pPr>
        <w:ind w:left="5130" w:hanging="180"/>
      </w:pPr>
    </w:lvl>
    <w:lvl w:ilvl="6" w:tplc="0421000F" w:tentative="1">
      <w:start w:val="1"/>
      <w:numFmt w:val="decimal"/>
      <w:lvlText w:val="%7."/>
      <w:lvlJc w:val="left"/>
      <w:pPr>
        <w:ind w:left="5850" w:hanging="360"/>
      </w:pPr>
    </w:lvl>
    <w:lvl w:ilvl="7" w:tplc="04210019" w:tentative="1">
      <w:start w:val="1"/>
      <w:numFmt w:val="lowerLetter"/>
      <w:lvlText w:val="%8."/>
      <w:lvlJc w:val="left"/>
      <w:pPr>
        <w:ind w:left="6570" w:hanging="360"/>
      </w:pPr>
    </w:lvl>
    <w:lvl w:ilvl="8" w:tplc="0421001B" w:tentative="1">
      <w:start w:val="1"/>
      <w:numFmt w:val="lowerRoman"/>
      <w:lvlText w:val="%9."/>
      <w:lvlJc w:val="right"/>
      <w:pPr>
        <w:ind w:left="7290" w:hanging="180"/>
      </w:pPr>
    </w:lvl>
  </w:abstractNum>
  <w:abstractNum w:abstractNumId="1" w15:restartNumberingAfterBreak="0">
    <w:nsid w:val="06907F14"/>
    <w:multiLevelType w:val="multilevel"/>
    <w:tmpl w:val="5E7C2D0C"/>
    <w:lvl w:ilvl="0">
      <w:start w:val="1"/>
      <w:numFmt w:val="lowerLetter"/>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95617"/>
    <w:multiLevelType w:val="hybridMultilevel"/>
    <w:tmpl w:val="DFF2C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31AB0"/>
    <w:multiLevelType w:val="multilevel"/>
    <w:tmpl w:val="8A4C1C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8279F"/>
    <w:multiLevelType w:val="hybridMultilevel"/>
    <w:tmpl w:val="744AC77E"/>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15:restartNumberingAfterBreak="0">
    <w:nsid w:val="13433564"/>
    <w:multiLevelType w:val="multilevel"/>
    <w:tmpl w:val="98523134"/>
    <w:lvl w:ilvl="0">
      <w:start w:val="1"/>
      <w:numFmt w:val="lowerLetter"/>
      <w:lvlText w:val="%1."/>
      <w:lvlJc w:val="left"/>
      <w:pPr>
        <w:tabs>
          <w:tab w:val="num" w:pos="720"/>
        </w:tabs>
        <w:ind w:left="720" w:hanging="360"/>
      </w:pPr>
      <w:rPr>
        <w:rFonts w:hint="default"/>
        <w:sz w:val="24"/>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24B66"/>
    <w:multiLevelType w:val="multilevel"/>
    <w:tmpl w:val="23524B66"/>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A141BD"/>
    <w:multiLevelType w:val="hybridMultilevel"/>
    <w:tmpl w:val="E67499F0"/>
    <w:lvl w:ilvl="0" w:tplc="04210019">
      <w:start w:val="1"/>
      <w:numFmt w:val="lowerLetter"/>
      <w:lvlText w:val="%1."/>
      <w:lvlJc w:val="left"/>
      <w:pPr>
        <w:ind w:left="1620" w:hanging="360"/>
      </w:pPr>
    </w:lvl>
    <w:lvl w:ilvl="1" w:tplc="04210019">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8" w15:restartNumberingAfterBreak="0">
    <w:nsid w:val="2A541FB3"/>
    <w:multiLevelType w:val="hybridMultilevel"/>
    <w:tmpl w:val="56627246"/>
    <w:lvl w:ilvl="0" w:tplc="9A286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05A3F"/>
    <w:multiLevelType w:val="hybridMultilevel"/>
    <w:tmpl w:val="E918E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6C7440"/>
    <w:multiLevelType w:val="multilevel"/>
    <w:tmpl w:val="58808BC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622936"/>
    <w:multiLevelType w:val="multilevel"/>
    <w:tmpl w:val="76785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4A446C"/>
    <w:multiLevelType w:val="hybridMultilevel"/>
    <w:tmpl w:val="314CB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54164A"/>
    <w:multiLevelType w:val="multilevel"/>
    <w:tmpl w:val="23524B66"/>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1816279"/>
    <w:multiLevelType w:val="hybridMultilevel"/>
    <w:tmpl w:val="30A0E768"/>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15:restartNumberingAfterBreak="0">
    <w:nsid w:val="667324DF"/>
    <w:multiLevelType w:val="hybridMultilevel"/>
    <w:tmpl w:val="4D60E7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8CE4E10"/>
    <w:multiLevelType w:val="hybridMultilevel"/>
    <w:tmpl w:val="EC5621D0"/>
    <w:lvl w:ilvl="0" w:tplc="04210011">
      <w:start w:val="1"/>
      <w:numFmt w:val="decimal"/>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7" w15:restartNumberingAfterBreak="0">
    <w:nsid w:val="791E5646"/>
    <w:multiLevelType w:val="hybridMultilevel"/>
    <w:tmpl w:val="D2DCE5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AFF4899"/>
    <w:multiLevelType w:val="hybridMultilevel"/>
    <w:tmpl w:val="ACCC8A7C"/>
    <w:lvl w:ilvl="0" w:tplc="FFFFFFFF">
      <w:start w:val="1"/>
      <w:numFmt w:val="upperLetter"/>
      <w:lvlText w:val="%1."/>
      <w:lvlJc w:val="left"/>
      <w:pPr>
        <w:ind w:left="720" w:hanging="360"/>
      </w:pPr>
      <w:rPr>
        <w:rFonts w:hint="default"/>
      </w:rPr>
    </w:lvl>
    <w:lvl w:ilvl="1" w:tplc="7B5E29E8">
      <w:start w:val="1"/>
      <w:numFmt w:val="decimal"/>
      <w:lvlText w:val="%2."/>
      <w:lvlJc w:val="left"/>
      <w:pPr>
        <w:ind w:left="630" w:hanging="360"/>
      </w:pPr>
      <w:rPr>
        <w:rFonts w:hint="default"/>
      </w:rPr>
    </w:lvl>
    <w:lvl w:ilvl="2" w:tplc="195AF142">
      <w:start w:val="1"/>
      <w:numFmt w:val="lowerLetter"/>
      <w:lvlText w:val="%3."/>
      <w:lvlJc w:val="left"/>
      <w:pPr>
        <w:ind w:left="36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7E2D5DFD"/>
    <w:multiLevelType w:val="hybridMultilevel"/>
    <w:tmpl w:val="ABC057B8"/>
    <w:lvl w:ilvl="0" w:tplc="9ABC8A06">
      <w:start w:val="1"/>
      <w:numFmt w:val="decimal"/>
      <w:lvlText w:val="%1."/>
      <w:lvlJc w:val="left"/>
      <w:pPr>
        <w:ind w:left="644" w:hanging="360"/>
      </w:pPr>
      <w:rPr>
        <w:rFonts w:eastAsiaTheme="minorHAnsi"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139686204">
    <w:abstractNumId w:val="6"/>
  </w:num>
  <w:num w:numId="2" w16cid:durableId="677076781">
    <w:abstractNumId w:val="18"/>
  </w:num>
  <w:num w:numId="3" w16cid:durableId="2051033687">
    <w:abstractNumId w:val="7"/>
  </w:num>
  <w:num w:numId="4" w16cid:durableId="571240308">
    <w:abstractNumId w:val="16"/>
  </w:num>
  <w:num w:numId="5" w16cid:durableId="1294019109">
    <w:abstractNumId w:val="0"/>
  </w:num>
  <w:num w:numId="6" w16cid:durableId="818575295">
    <w:abstractNumId w:val="13"/>
  </w:num>
  <w:num w:numId="7" w16cid:durableId="1493566843">
    <w:abstractNumId w:val="14"/>
  </w:num>
  <w:num w:numId="8" w16cid:durableId="194655529">
    <w:abstractNumId w:val="4"/>
  </w:num>
  <w:num w:numId="9" w16cid:durableId="16172986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33567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9783931">
    <w:abstractNumId w:val="19"/>
  </w:num>
  <w:num w:numId="12" w16cid:durableId="217518032">
    <w:abstractNumId w:val="1"/>
  </w:num>
  <w:num w:numId="13" w16cid:durableId="1900549507">
    <w:abstractNumId w:val="3"/>
  </w:num>
  <w:num w:numId="14" w16cid:durableId="1593784546">
    <w:abstractNumId w:val="5"/>
  </w:num>
  <w:num w:numId="15" w16cid:durableId="1715815668">
    <w:abstractNumId w:val="12"/>
  </w:num>
  <w:num w:numId="16" w16cid:durableId="2008945735">
    <w:abstractNumId w:val="8"/>
  </w:num>
  <w:num w:numId="17" w16cid:durableId="151024897">
    <w:abstractNumId w:val="10"/>
  </w:num>
  <w:num w:numId="18" w16cid:durableId="459568635">
    <w:abstractNumId w:val="11"/>
  </w:num>
  <w:num w:numId="19" w16cid:durableId="989940208">
    <w:abstractNumId w:val="9"/>
  </w:num>
  <w:num w:numId="20" w16cid:durableId="518813708">
    <w:abstractNumId w:val="2"/>
  </w:num>
  <w:num w:numId="21" w16cid:durableId="2081512898">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198"/>
    <w:rsid w:val="00005D49"/>
    <w:rsid w:val="00026450"/>
    <w:rsid w:val="000318A4"/>
    <w:rsid w:val="00064CE0"/>
    <w:rsid w:val="00072507"/>
    <w:rsid w:val="000C377A"/>
    <w:rsid w:val="000D031F"/>
    <w:rsid w:val="000D04BB"/>
    <w:rsid w:val="000D31CE"/>
    <w:rsid w:val="000D3F8C"/>
    <w:rsid w:val="000E06F6"/>
    <w:rsid w:val="000F359A"/>
    <w:rsid w:val="001018F6"/>
    <w:rsid w:val="00110E07"/>
    <w:rsid w:val="00145254"/>
    <w:rsid w:val="00150250"/>
    <w:rsid w:val="00194BE1"/>
    <w:rsid w:val="001B2366"/>
    <w:rsid w:val="001D6846"/>
    <w:rsid w:val="00202205"/>
    <w:rsid w:val="002170F5"/>
    <w:rsid w:val="002E0A6E"/>
    <w:rsid w:val="002E162F"/>
    <w:rsid w:val="0030353F"/>
    <w:rsid w:val="00310B80"/>
    <w:rsid w:val="003664EA"/>
    <w:rsid w:val="00381984"/>
    <w:rsid w:val="003865B8"/>
    <w:rsid w:val="003A77C5"/>
    <w:rsid w:val="003E0D31"/>
    <w:rsid w:val="003F59EB"/>
    <w:rsid w:val="004045EF"/>
    <w:rsid w:val="00426D79"/>
    <w:rsid w:val="00462822"/>
    <w:rsid w:val="00487FD4"/>
    <w:rsid w:val="004B6854"/>
    <w:rsid w:val="004C08FE"/>
    <w:rsid w:val="004D64D3"/>
    <w:rsid w:val="004E3F25"/>
    <w:rsid w:val="004E40D9"/>
    <w:rsid w:val="004F0C34"/>
    <w:rsid w:val="004F1A5E"/>
    <w:rsid w:val="005008C6"/>
    <w:rsid w:val="00512250"/>
    <w:rsid w:val="005512DD"/>
    <w:rsid w:val="00584D94"/>
    <w:rsid w:val="0059492C"/>
    <w:rsid w:val="00597B6D"/>
    <w:rsid w:val="005C04D6"/>
    <w:rsid w:val="005E480C"/>
    <w:rsid w:val="006263FC"/>
    <w:rsid w:val="00662931"/>
    <w:rsid w:val="006911DF"/>
    <w:rsid w:val="006B328E"/>
    <w:rsid w:val="006F1AE3"/>
    <w:rsid w:val="007447E5"/>
    <w:rsid w:val="00745440"/>
    <w:rsid w:val="00790C3C"/>
    <w:rsid w:val="007C46F2"/>
    <w:rsid w:val="007F4FCF"/>
    <w:rsid w:val="007F6780"/>
    <w:rsid w:val="007F67D0"/>
    <w:rsid w:val="00802A54"/>
    <w:rsid w:val="008106ED"/>
    <w:rsid w:val="00832198"/>
    <w:rsid w:val="00860B87"/>
    <w:rsid w:val="0087134C"/>
    <w:rsid w:val="00877178"/>
    <w:rsid w:val="00883A42"/>
    <w:rsid w:val="00886405"/>
    <w:rsid w:val="008A5219"/>
    <w:rsid w:val="008B0BCB"/>
    <w:rsid w:val="008F3ACC"/>
    <w:rsid w:val="0093379B"/>
    <w:rsid w:val="00946BC5"/>
    <w:rsid w:val="00964174"/>
    <w:rsid w:val="00966D57"/>
    <w:rsid w:val="0096799D"/>
    <w:rsid w:val="0097642C"/>
    <w:rsid w:val="00987149"/>
    <w:rsid w:val="009A4719"/>
    <w:rsid w:val="009B24C2"/>
    <w:rsid w:val="00A277EE"/>
    <w:rsid w:val="00A525EB"/>
    <w:rsid w:val="00A65892"/>
    <w:rsid w:val="00A674D3"/>
    <w:rsid w:val="00AB179A"/>
    <w:rsid w:val="00AB2B5F"/>
    <w:rsid w:val="00AC123A"/>
    <w:rsid w:val="00AD0722"/>
    <w:rsid w:val="00AD1C39"/>
    <w:rsid w:val="00AF176B"/>
    <w:rsid w:val="00B0184F"/>
    <w:rsid w:val="00B3222B"/>
    <w:rsid w:val="00B43BE8"/>
    <w:rsid w:val="00B45239"/>
    <w:rsid w:val="00B53F5F"/>
    <w:rsid w:val="00B81BB7"/>
    <w:rsid w:val="00BC21CD"/>
    <w:rsid w:val="00BC2446"/>
    <w:rsid w:val="00BF494C"/>
    <w:rsid w:val="00BF4A67"/>
    <w:rsid w:val="00BF5925"/>
    <w:rsid w:val="00C147EA"/>
    <w:rsid w:val="00C3647F"/>
    <w:rsid w:val="00CE481B"/>
    <w:rsid w:val="00CE58B3"/>
    <w:rsid w:val="00D14E09"/>
    <w:rsid w:val="00D164A1"/>
    <w:rsid w:val="00D5761A"/>
    <w:rsid w:val="00D871B2"/>
    <w:rsid w:val="00DC5207"/>
    <w:rsid w:val="00DD6DE3"/>
    <w:rsid w:val="00E12CF5"/>
    <w:rsid w:val="00E31EB5"/>
    <w:rsid w:val="00E548EE"/>
    <w:rsid w:val="00E63554"/>
    <w:rsid w:val="00E66766"/>
    <w:rsid w:val="00EA67DF"/>
    <w:rsid w:val="00EB7A49"/>
    <w:rsid w:val="00F105E4"/>
    <w:rsid w:val="00F21FE1"/>
    <w:rsid w:val="00F257C0"/>
    <w:rsid w:val="00F41F92"/>
    <w:rsid w:val="00F441DE"/>
    <w:rsid w:val="00F525FA"/>
    <w:rsid w:val="00F618F2"/>
    <w:rsid w:val="00F63A61"/>
    <w:rsid w:val="00FD7142"/>
    <w:rsid w:val="00FF31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B8974"/>
  <w15:docId w15:val="{62B15A0C-BA85-4EE9-9E7F-27F156F4C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198"/>
  </w:style>
  <w:style w:type="paragraph" w:styleId="Judul2">
    <w:name w:val="heading 2"/>
    <w:basedOn w:val="Normal"/>
    <w:next w:val="Normal"/>
    <w:link w:val="Judul2KAR"/>
    <w:uiPriority w:val="9"/>
    <w:semiHidden/>
    <w:unhideWhenUsed/>
    <w:qFormat/>
    <w:rsid w:val="00DD6DE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Judul3">
    <w:name w:val="heading 3"/>
    <w:basedOn w:val="Normal"/>
    <w:link w:val="Judul3KAR"/>
    <w:uiPriority w:val="9"/>
    <w:qFormat/>
    <w:rsid w:val="00E667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Footer">
    <w:name w:val="footer"/>
    <w:basedOn w:val="Normal"/>
    <w:link w:val="FooterKAR"/>
    <w:uiPriority w:val="99"/>
    <w:unhideWhenUsed/>
    <w:qFormat/>
    <w:rsid w:val="00832198"/>
    <w:pPr>
      <w:tabs>
        <w:tab w:val="center" w:pos="4680"/>
        <w:tab w:val="right" w:pos="9360"/>
      </w:tabs>
      <w:spacing w:after="0" w:line="240" w:lineRule="auto"/>
    </w:pPr>
  </w:style>
  <w:style w:type="character" w:customStyle="1" w:styleId="FooterKAR">
    <w:name w:val="Footer KAR"/>
    <w:basedOn w:val="FontParagrafDefault"/>
    <w:link w:val="Footer"/>
    <w:uiPriority w:val="99"/>
    <w:qFormat/>
    <w:rsid w:val="00832198"/>
  </w:style>
  <w:style w:type="paragraph" w:styleId="TeksCatatanKaki">
    <w:name w:val="footnote text"/>
    <w:basedOn w:val="Normal"/>
    <w:link w:val="TeksCatatanKakiKAR"/>
    <w:uiPriority w:val="99"/>
    <w:unhideWhenUsed/>
    <w:rsid w:val="00832198"/>
    <w:pPr>
      <w:spacing w:after="0" w:line="240" w:lineRule="auto"/>
    </w:pPr>
    <w:rPr>
      <w:rFonts w:ascii="Calibri" w:eastAsia="Calibri" w:hAnsi="Calibri" w:cs="Arial"/>
      <w:sz w:val="20"/>
      <w:szCs w:val="20"/>
    </w:rPr>
  </w:style>
  <w:style w:type="character" w:customStyle="1" w:styleId="TeksCatatanKakiKAR">
    <w:name w:val="Teks Catatan Kaki KAR"/>
    <w:basedOn w:val="FontParagrafDefault"/>
    <w:link w:val="TeksCatatanKaki"/>
    <w:uiPriority w:val="99"/>
    <w:rsid w:val="00832198"/>
    <w:rPr>
      <w:rFonts w:ascii="Calibri" w:eastAsia="Calibri" w:hAnsi="Calibri" w:cs="Arial"/>
      <w:sz w:val="20"/>
      <w:szCs w:val="20"/>
    </w:rPr>
  </w:style>
  <w:style w:type="paragraph" w:styleId="Header">
    <w:name w:val="header"/>
    <w:basedOn w:val="Normal"/>
    <w:link w:val="HeaderKAR"/>
    <w:uiPriority w:val="99"/>
    <w:unhideWhenUsed/>
    <w:qFormat/>
    <w:rsid w:val="00832198"/>
    <w:pPr>
      <w:tabs>
        <w:tab w:val="center" w:pos="4680"/>
        <w:tab w:val="right" w:pos="9360"/>
      </w:tabs>
      <w:spacing w:after="0" w:line="240" w:lineRule="auto"/>
    </w:pPr>
  </w:style>
  <w:style w:type="character" w:customStyle="1" w:styleId="HeaderKAR">
    <w:name w:val="Header KAR"/>
    <w:basedOn w:val="FontParagrafDefault"/>
    <w:link w:val="Header"/>
    <w:uiPriority w:val="99"/>
    <w:rsid w:val="00832198"/>
  </w:style>
  <w:style w:type="character" w:styleId="ReferensiCatatanKaki">
    <w:name w:val="footnote reference"/>
    <w:uiPriority w:val="99"/>
    <w:unhideWhenUsed/>
    <w:rsid w:val="00832198"/>
    <w:rPr>
      <w:vertAlign w:val="superscript"/>
    </w:rPr>
  </w:style>
  <w:style w:type="character" w:styleId="Hyperlink">
    <w:name w:val="Hyperlink"/>
    <w:basedOn w:val="FontParagrafDefault"/>
    <w:uiPriority w:val="99"/>
    <w:unhideWhenUsed/>
    <w:qFormat/>
    <w:rsid w:val="00832198"/>
    <w:rPr>
      <w:color w:val="0563C1" w:themeColor="hyperlink"/>
      <w:u w:val="single"/>
    </w:rPr>
  </w:style>
  <w:style w:type="paragraph" w:styleId="DaftarParagraf">
    <w:name w:val="List Paragraph"/>
    <w:aliases w:val="Body of text,skripsi,list paragraf"/>
    <w:basedOn w:val="Normal"/>
    <w:link w:val="DaftarParagrafKAR"/>
    <w:uiPriority w:val="99"/>
    <w:qFormat/>
    <w:rsid w:val="00832198"/>
    <w:pPr>
      <w:ind w:left="720"/>
      <w:contextualSpacing/>
    </w:pPr>
  </w:style>
  <w:style w:type="character" w:customStyle="1" w:styleId="DaftarParagrafKAR">
    <w:name w:val="Daftar Paragraf KAR"/>
    <w:aliases w:val="Body of text KAR,skripsi KAR,list paragraf KAR"/>
    <w:basedOn w:val="FontParagrafDefault"/>
    <w:link w:val="DaftarParagraf"/>
    <w:uiPriority w:val="34"/>
    <w:locked/>
    <w:rsid w:val="00832198"/>
  </w:style>
  <w:style w:type="paragraph" w:customStyle="1" w:styleId="Penulis">
    <w:name w:val="Penulis"/>
    <w:basedOn w:val="Normal"/>
    <w:link w:val="PenulisChar"/>
    <w:qFormat/>
    <w:rsid w:val="00832198"/>
    <w:pPr>
      <w:spacing w:line="360" w:lineRule="auto"/>
    </w:pPr>
    <w:rPr>
      <w:rFonts w:ascii="Arial" w:hAnsi="Arial"/>
      <w:sz w:val="24"/>
    </w:rPr>
  </w:style>
  <w:style w:type="character" w:customStyle="1" w:styleId="PenulisChar">
    <w:name w:val="Penulis Char"/>
    <w:basedOn w:val="FontParagrafDefault"/>
    <w:link w:val="Penulis"/>
    <w:rsid w:val="00832198"/>
    <w:rPr>
      <w:rFonts w:ascii="Arial" w:hAnsi="Arial"/>
      <w:sz w:val="24"/>
    </w:rPr>
  </w:style>
  <w:style w:type="table" w:styleId="KisiTabel">
    <w:name w:val="Table Grid"/>
    <w:basedOn w:val="TabelNormal"/>
    <w:uiPriority w:val="39"/>
    <w:rsid w:val="00832198"/>
    <w:pPr>
      <w:spacing w:after="0" w:line="240" w:lineRule="auto"/>
    </w:pPr>
    <w:rPr>
      <w:rFonts w:eastAsiaTheme="minorEastAsia"/>
      <w:lang w:val="id-ID" w:eastAsia="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ebutanYangBelumTerselesaikan1">
    <w:name w:val="Sebutan Yang Belum Terselesaikan1"/>
    <w:basedOn w:val="FontParagrafDefault"/>
    <w:uiPriority w:val="99"/>
    <w:semiHidden/>
    <w:unhideWhenUsed/>
    <w:rsid w:val="00832198"/>
    <w:rPr>
      <w:color w:val="605E5C"/>
      <w:shd w:val="clear" w:color="auto" w:fill="E1DFDD"/>
    </w:rPr>
  </w:style>
  <w:style w:type="character" w:customStyle="1" w:styleId="fontstyle01">
    <w:name w:val="fontstyle01"/>
    <w:basedOn w:val="FontParagrafDefault"/>
    <w:rsid w:val="00832198"/>
    <w:rPr>
      <w:rFonts w:ascii="Garamond" w:hAnsi="Garamond" w:hint="default"/>
      <w:b w:val="0"/>
      <w:bCs w:val="0"/>
      <w:i w:val="0"/>
      <w:iCs w:val="0"/>
      <w:color w:val="000000"/>
      <w:sz w:val="24"/>
      <w:szCs w:val="24"/>
    </w:rPr>
  </w:style>
  <w:style w:type="character" w:styleId="Tempatpenampungteks">
    <w:name w:val="Placeholder Text"/>
    <w:basedOn w:val="FontParagrafDefault"/>
    <w:uiPriority w:val="99"/>
    <w:semiHidden/>
    <w:rsid w:val="00790C3C"/>
    <w:rPr>
      <w:color w:val="666666"/>
    </w:rPr>
  </w:style>
  <w:style w:type="paragraph" w:styleId="Bibliografi">
    <w:name w:val="Bibliography"/>
    <w:basedOn w:val="Normal"/>
    <w:next w:val="Normal"/>
    <w:uiPriority w:val="37"/>
    <w:unhideWhenUsed/>
    <w:rsid w:val="004045EF"/>
    <w:pPr>
      <w:spacing w:after="0" w:line="480" w:lineRule="auto"/>
      <w:ind w:left="720" w:hanging="720"/>
    </w:pPr>
  </w:style>
  <w:style w:type="character" w:styleId="ReferensiCatatanAkhir">
    <w:name w:val="endnote reference"/>
    <w:basedOn w:val="FontParagrafDefault"/>
    <w:uiPriority w:val="99"/>
    <w:semiHidden/>
    <w:unhideWhenUsed/>
    <w:rsid w:val="004C08FE"/>
    <w:rPr>
      <w:vertAlign w:val="superscript"/>
    </w:rPr>
  </w:style>
  <w:style w:type="paragraph" w:styleId="TeksBalon">
    <w:name w:val="Balloon Text"/>
    <w:basedOn w:val="Normal"/>
    <w:link w:val="TeksBalonKAR"/>
    <w:uiPriority w:val="99"/>
    <w:semiHidden/>
    <w:unhideWhenUsed/>
    <w:rsid w:val="00426D79"/>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426D79"/>
    <w:rPr>
      <w:rFonts w:ascii="Tahoma" w:hAnsi="Tahoma" w:cs="Tahoma"/>
      <w:sz w:val="16"/>
      <w:szCs w:val="16"/>
    </w:rPr>
  </w:style>
  <w:style w:type="paragraph" w:styleId="NormalWeb">
    <w:name w:val="Normal (Web)"/>
    <w:basedOn w:val="Normal"/>
    <w:uiPriority w:val="99"/>
    <w:unhideWhenUsed/>
    <w:rsid w:val="00E667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udul3KAR">
    <w:name w:val="Judul 3 KAR"/>
    <w:basedOn w:val="FontParagrafDefault"/>
    <w:link w:val="Judul3"/>
    <w:uiPriority w:val="9"/>
    <w:rsid w:val="00E66766"/>
    <w:rPr>
      <w:rFonts w:ascii="Times New Roman" w:eastAsia="Times New Roman" w:hAnsi="Times New Roman" w:cs="Times New Roman"/>
      <w:b/>
      <w:bCs/>
      <w:sz w:val="27"/>
      <w:szCs w:val="27"/>
    </w:rPr>
  </w:style>
  <w:style w:type="character" w:customStyle="1" w:styleId="Judul2KAR">
    <w:name w:val="Judul 2 KAR"/>
    <w:basedOn w:val="FontParagrafDefault"/>
    <w:link w:val="Judul2"/>
    <w:uiPriority w:val="9"/>
    <w:semiHidden/>
    <w:rsid w:val="00DD6DE3"/>
    <w:rPr>
      <w:rFonts w:asciiTheme="majorHAnsi" w:eastAsiaTheme="majorEastAsia" w:hAnsiTheme="majorHAnsi" w:cstheme="majorBidi"/>
      <w:b/>
      <w:bCs/>
      <w:color w:val="4472C4" w:themeColor="accent1"/>
      <w:sz w:val="26"/>
      <w:szCs w:val="26"/>
    </w:rPr>
  </w:style>
  <w:style w:type="table" w:styleId="BayanganTipis">
    <w:name w:val="Light Shading"/>
    <w:basedOn w:val="TabelNormal"/>
    <w:uiPriority w:val="60"/>
    <w:rsid w:val="00DD6D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SebutanYangBelumTerselesaikan">
    <w:name w:val="Unresolved Mention"/>
    <w:basedOn w:val="FontParagrafDefault"/>
    <w:uiPriority w:val="99"/>
    <w:semiHidden/>
    <w:unhideWhenUsed/>
    <w:rsid w:val="00BF4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644019">
      <w:bodyDiv w:val="1"/>
      <w:marLeft w:val="0"/>
      <w:marRight w:val="0"/>
      <w:marTop w:val="0"/>
      <w:marBottom w:val="0"/>
      <w:divBdr>
        <w:top w:val="none" w:sz="0" w:space="0" w:color="auto"/>
        <w:left w:val="none" w:sz="0" w:space="0" w:color="auto"/>
        <w:bottom w:val="none" w:sz="0" w:space="0" w:color="auto"/>
        <w:right w:val="none" w:sz="0" w:space="0" w:color="auto"/>
      </w:divBdr>
      <w:divsChild>
        <w:div w:id="712538596">
          <w:marLeft w:val="0"/>
          <w:marRight w:val="0"/>
          <w:marTop w:val="0"/>
          <w:marBottom w:val="0"/>
          <w:divBdr>
            <w:top w:val="none" w:sz="0" w:space="0" w:color="auto"/>
            <w:left w:val="none" w:sz="0" w:space="0" w:color="auto"/>
            <w:bottom w:val="none" w:sz="0" w:space="0" w:color="auto"/>
            <w:right w:val="none" w:sz="0" w:space="0" w:color="auto"/>
          </w:divBdr>
        </w:div>
        <w:div w:id="559747968">
          <w:marLeft w:val="0"/>
          <w:marRight w:val="0"/>
          <w:marTop w:val="0"/>
          <w:marBottom w:val="0"/>
          <w:divBdr>
            <w:top w:val="none" w:sz="0" w:space="0" w:color="auto"/>
            <w:left w:val="none" w:sz="0" w:space="0" w:color="auto"/>
            <w:bottom w:val="none" w:sz="0" w:space="0" w:color="auto"/>
            <w:right w:val="none" w:sz="0" w:space="0" w:color="auto"/>
          </w:divBdr>
        </w:div>
        <w:div w:id="1921863389">
          <w:marLeft w:val="0"/>
          <w:marRight w:val="0"/>
          <w:marTop w:val="0"/>
          <w:marBottom w:val="0"/>
          <w:divBdr>
            <w:top w:val="none" w:sz="0" w:space="0" w:color="auto"/>
            <w:left w:val="none" w:sz="0" w:space="0" w:color="auto"/>
            <w:bottom w:val="none" w:sz="0" w:space="0" w:color="auto"/>
            <w:right w:val="none" w:sz="0" w:space="0" w:color="auto"/>
          </w:divBdr>
          <w:divsChild>
            <w:div w:id="1901790942">
              <w:marLeft w:val="0"/>
              <w:marRight w:val="0"/>
              <w:marTop w:val="0"/>
              <w:marBottom w:val="0"/>
              <w:divBdr>
                <w:top w:val="none" w:sz="0" w:space="0" w:color="auto"/>
                <w:left w:val="none" w:sz="0" w:space="0" w:color="auto"/>
                <w:bottom w:val="none" w:sz="0" w:space="0" w:color="auto"/>
                <w:right w:val="none" w:sz="0" w:space="0" w:color="auto"/>
              </w:divBdr>
            </w:div>
          </w:divsChild>
        </w:div>
        <w:div w:id="1194660311">
          <w:marLeft w:val="0"/>
          <w:marRight w:val="0"/>
          <w:marTop w:val="0"/>
          <w:marBottom w:val="0"/>
          <w:divBdr>
            <w:top w:val="none" w:sz="0" w:space="0" w:color="auto"/>
            <w:left w:val="none" w:sz="0" w:space="0" w:color="auto"/>
            <w:bottom w:val="none" w:sz="0" w:space="0" w:color="auto"/>
            <w:right w:val="none" w:sz="0" w:space="0" w:color="auto"/>
          </w:divBdr>
          <w:divsChild>
            <w:div w:id="549535640">
              <w:marLeft w:val="0"/>
              <w:marRight w:val="0"/>
              <w:marTop w:val="0"/>
              <w:marBottom w:val="0"/>
              <w:divBdr>
                <w:top w:val="none" w:sz="0" w:space="0" w:color="auto"/>
                <w:left w:val="none" w:sz="0" w:space="0" w:color="auto"/>
                <w:bottom w:val="none" w:sz="0" w:space="0" w:color="auto"/>
                <w:right w:val="none" w:sz="0" w:space="0" w:color="auto"/>
              </w:divBdr>
            </w:div>
          </w:divsChild>
        </w:div>
        <w:div w:id="1575160504">
          <w:marLeft w:val="0"/>
          <w:marRight w:val="0"/>
          <w:marTop w:val="0"/>
          <w:marBottom w:val="0"/>
          <w:divBdr>
            <w:top w:val="none" w:sz="0" w:space="0" w:color="auto"/>
            <w:left w:val="none" w:sz="0" w:space="0" w:color="auto"/>
            <w:bottom w:val="none" w:sz="0" w:space="0" w:color="auto"/>
            <w:right w:val="none" w:sz="0" w:space="0" w:color="auto"/>
          </w:divBdr>
          <w:divsChild>
            <w:div w:id="1754669311">
              <w:marLeft w:val="0"/>
              <w:marRight w:val="0"/>
              <w:marTop w:val="0"/>
              <w:marBottom w:val="0"/>
              <w:divBdr>
                <w:top w:val="none" w:sz="0" w:space="0" w:color="auto"/>
                <w:left w:val="none" w:sz="0" w:space="0" w:color="auto"/>
                <w:bottom w:val="none" w:sz="0" w:space="0" w:color="auto"/>
                <w:right w:val="none" w:sz="0" w:space="0" w:color="auto"/>
              </w:divBdr>
            </w:div>
          </w:divsChild>
        </w:div>
        <w:div w:id="2122534190">
          <w:marLeft w:val="0"/>
          <w:marRight w:val="0"/>
          <w:marTop w:val="0"/>
          <w:marBottom w:val="0"/>
          <w:divBdr>
            <w:top w:val="none" w:sz="0" w:space="0" w:color="auto"/>
            <w:left w:val="none" w:sz="0" w:space="0" w:color="auto"/>
            <w:bottom w:val="none" w:sz="0" w:space="0" w:color="auto"/>
            <w:right w:val="none" w:sz="0" w:space="0" w:color="auto"/>
          </w:divBdr>
          <w:divsChild>
            <w:div w:id="789709594">
              <w:marLeft w:val="0"/>
              <w:marRight w:val="0"/>
              <w:marTop w:val="0"/>
              <w:marBottom w:val="0"/>
              <w:divBdr>
                <w:top w:val="none" w:sz="0" w:space="0" w:color="auto"/>
                <w:left w:val="none" w:sz="0" w:space="0" w:color="auto"/>
                <w:bottom w:val="none" w:sz="0" w:space="0" w:color="auto"/>
                <w:right w:val="none" w:sz="0" w:space="0" w:color="auto"/>
              </w:divBdr>
            </w:div>
          </w:divsChild>
        </w:div>
        <w:div w:id="1113213938">
          <w:marLeft w:val="0"/>
          <w:marRight w:val="0"/>
          <w:marTop w:val="0"/>
          <w:marBottom w:val="0"/>
          <w:divBdr>
            <w:top w:val="none" w:sz="0" w:space="0" w:color="auto"/>
            <w:left w:val="none" w:sz="0" w:space="0" w:color="auto"/>
            <w:bottom w:val="none" w:sz="0" w:space="0" w:color="auto"/>
            <w:right w:val="none" w:sz="0" w:space="0" w:color="auto"/>
          </w:divBdr>
          <w:divsChild>
            <w:div w:id="23530925">
              <w:marLeft w:val="0"/>
              <w:marRight w:val="0"/>
              <w:marTop w:val="0"/>
              <w:marBottom w:val="0"/>
              <w:divBdr>
                <w:top w:val="none" w:sz="0" w:space="0" w:color="auto"/>
                <w:left w:val="none" w:sz="0" w:space="0" w:color="auto"/>
                <w:bottom w:val="none" w:sz="0" w:space="0" w:color="auto"/>
                <w:right w:val="none" w:sz="0" w:space="0" w:color="auto"/>
              </w:divBdr>
            </w:div>
            <w:div w:id="1083800105">
              <w:marLeft w:val="0"/>
              <w:marRight w:val="0"/>
              <w:marTop w:val="0"/>
              <w:marBottom w:val="0"/>
              <w:divBdr>
                <w:top w:val="none" w:sz="0" w:space="0" w:color="auto"/>
                <w:left w:val="none" w:sz="0" w:space="0" w:color="auto"/>
                <w:bottom w:val="none" w:sz="0" w:space="0" w:color="auto"/>
                <w:right w:val="none" w:sz="0" w:space="0" w:color="auto"/>
              </w:divBdr>
            </w:div>
            <w:div w:id="353306035">
              <w:marLeft w:val="0"/>
              <w:marRight w:val="0"/>
              <w:marTop w:val="0"/>
              <w:marBottom w:val="0"/>
              <w:divBdr>
                <w:top w:val="none" w:sz="0" w:space="0" w:color="auto"/>
                <w:left w:val="none" w:sz="0" w:space="0" w:color="auto"/>
                <w:bottom w:val="none" w:sz="0" w:space="0" w:color="auto"/>
                <w:right w:val="none" w:sz="0" w:space="0" w:color="auto"/>
              </w:divBdr>
            </w:div>
            <w:div w:id="759647038">
              <w:marLeft w:val="0"/>
              <w:marRight w:val="0"/>
              <w:marTop w:val="0"/>
              <w:marBottom w:val="0"/>
              <w:divBdr>
                <w:top w:val="none" w:sz="0" w:space="0" w:color="auto"/>
                <w:left w:val="none" w:sz="0" w:space="0" w:color="auto"/>
                <w:bottom w:val="none" w:sz="0" w:space="0" w:color="auto"/>
                <w:right w:val="none" w:sz="0" w:space="0" w:color="auto"/>
              </w:divBdr>
            </w:div>
            <w:div w:id="475952042">
              <w:marLeft w:val="0"/>
              <w:marRight w:val="0"/>
              <w:marTop w:val="0"/>
              <w:marBottom w:val="0"/>
              <w:divBdr>
                <w:top w:val="none" w:sz="0" w:space="0" w:color="auto"/>
                <w:left w:val="none" w:sz="0" w:space="0" w:color="auto"/>
                <w:bottom w:val="none" w:sz="0" w:space="0" w:color="auto"/>
                <w:right w:val="none" w:sz="0" w:space="0" w:color="auto"/>
              </w:divBdr>
            </w:div>
            <w:div w:id="205075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49949">
      <w:bodyDiv w:val="1"/>
      <w:marLeft w:val="0"/>
      <w:marRight w:val="0"/>
      <w:marTop w:val="0"/>
      <w:marBottom w:val="0"/>
      <w:divBdr>
        <w:top w:val="none" w:sz="0" w:space="0" w:color="auto"/>
        <w:left w:val="none" w:sz="0" w:space="0" w:color="auto"/>
        <w:bottom w:val="none" w:sz="0" w:space="0" w:color="auto"/>
        <w:right w:val="none" w:sz="0" w:space="0" w:color="auto"/>
      </w:divBdr>
      <w:divsChild>
        <w:div w:id="2027363514">
          <w:marLeft w:val="0"/>
          <w:marRight w:val="0"/>
          <w:marTop w:val="0"/>
          <w:marBottom w:val="0"/>
          <w:divBdr>
            <w:top w:val="none" w:sz="0" w:space="0" w:color="auto"/>
            <w:left w:val="none" w:sz="0" w:space="0" w:color="auto"/>
            <w:bottom w:val="none" w:sz="0" w:space="0" w:color="auto"/>
            <w:right w:val="none" w:sz="0" w:space="0" w:color="auto"/>
          </w:divBdr>
          <w:divsChild>
            <w:div w:id="753672394">
              <w:marLeft w:val="0"/>
              <w:marRight w:val="0"/>
              <w:marTop w:val="0"/>
              <w:marBottom w:val="0"/>
              <w:divBdr>
                <w:top w:val="none" w:sz="0" w:space="0" w:color="auto"/>
                <w:left w:val="none" w:sz="0" w:space="0" w:color="auto"/>
                <w:bottom w:val="none" w:sz="0" w:space="0" w:color="auto"/>
                <w:right w:val="none" w:sz="0" w:space="0" w:color="auto"/>
              </w:divBdr>
              <w:divsChild>
                <w:div w:id="460999506">
                  <w:marLeft w:val="0"/>
                  <w:marRight w:val="0"/>
                  <w:marTop w:val="0"/>
                  <w:marBottom w:val="0"/>
                  <w:divBdr>
                    <w:top w:val="none" w:sz="0" w:space="0" w:color="auto"/>
                    <w:left w:val="none" w:sz="0" w:space="0" w:color="auto"/>
                    <w:bottom w:val="none" w:sz="0" w:space="0" w:color="auto"/>
                    <w:right w:val="none" w:sz="0" w:space="0" w:color="auto"/>
                  </w:divBdr>
                </w:div>
              </w:divsChild>
            </w:div>
            <w:div w:id="1427845994">
              <w:marLeft w:val="0"/>
              <w:marRight w:val="0"/>
              <w:marTop w:val="0"/>
              <w:marBottom w:val="0"/>
              <w:divBdr>
                <w:top w:val="none" w:sz="0" w:space="0" w:color="auto"/>
                <w:left w:val="none" w:sz="0" w:space="0" w:color="auto"/>
                <w:bottom w:val="none" w:sz="0" w:space="0" w:color="auto"/>
                <w:right w:val="none" w:sz="0" w:space="0" w:color="auto"/>
              </w:divBdr>
              <w:divsChild>
                <w:div w:id="195778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038991">
      <w:bodyDiv w:val="1"/>
      <w:marLeft w:val="0"/>
      <w:marRight w:val="0"/>
      <w:marTop w:val="0"/>
      <w:marBottom w:val="0"/>
      <w:divBdr>
        <w:top w:val="none" w:sz="0" w:space="0" w:color="auto"/>
        <w:left w:val="none" w:sz="0" w:space="0" w:color="auto"/>
        <w:bottom w:val="none" w:sz="0" w:space="0" w:color="auto"/>
        <w:right w:val="none" w:sz="0" w:space="0" w:color="auto"/>
      </w:divBdr>
      <w:divsChild>
        <w:div w:id="1622805027">
          <w:marLeft w:val="0"/>
          <w:marRight w:val="0"/>
          <w:marTop w:val="0"/>
          <w:marBottom w:val="0"/>
          <w:divBdr>
            <w:top w:val="none" w:sz="0" w:space="0" w:color="auto"/>
            <w:left w:val="none" w:sz="0" w:space="0" w:color="auto"/>
            <w:bottom w:val="none" w:sz="0" w:space="0" w:color="auto"/>
            <w:right w:val="none" w:sz="0" w:space="0" w:color="auto"/>
          </w:divBdr>
          <w:divsChild>
            <w:div w:id="1374308088">
              <w:marLeft w:val="0"/>
              <w:marRight w:val="0"/>
              <w:marTop w:val="0"/>
              <w:marBottom w:val="0"/>
              <w:divBdr>
                <w:top w:val="none" w:sz="0" w:space="0" w:color="auto"/>
                <w:left w:val="none" w:sz="0" w:space="0" w:color="auto"/>
                <w:bottom w:val="none" w:sz="0" w:space="0" w:color="auto"/>
                <w:right w:val="none" w:sz="0" w:space="0" w:color="auto"/>
              </w:divBdr>
              <w:divsChild>
                <w:div w:id="307978269">
                  <w:marLeft w:val="0"/>
                  <w:marRight w:val="0"/>
                  <w:marTop w:val="0"/>
                  <w:marBottom w:val="0"/>
                  <w:divBdr>
                    <w:top w:val="none" w:sz="0" w:space="0" w:color="auto"/>
                    <w:left w:val="none" w:sz="0" w:space="0" w:color="auto"/>
                    <w:bottom w:val="none" w:sz="0" w:space="0" w:color="auto"/>
                    <w:right w:val="none" w:sz="0" w:space="0" w:color="auto"/>
                  </w:divBdr>
                </w:div>
              </w:divsChild>
            </w:div>
            <w:div w:id="1667515616">
              <w:marLeft w:val="0"/>
              <w:marRight w:val="0"/>
              <w:marTop w:val="0"/>
              <w:marBottom w:val="0"/>
              <w:divBdr>
                <w:top w:val="none" w:sz="0" w:space="0" w:color="auto"/>
                <w:left w:val="none" w:sz="0" w:space="0" w:color="auto"/>
                <w:bottom w:val="none" w:sz="0" w:space="0" w:color="auto"/>
                <w:right w:val="none" w:sz="0" w:space="0" w:color="auto"/>
              </w:divBdr>
              <w:divsChild>
                <w:div w:id="63171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8471">
          <w:marLeft w:val="0"/>
          <w:marRight w:val="0"/>
          <w:marTop w:val="0"/>
          <w:marBottom w:val="0"/>
          <w:divBdr>
            <w:top w:val="none" w:sz="0" w:space="0" w:color="auto"/>
            <w:left w:val="none" w:sz="0" w:space="0" w:color="auto"/>
            <w:bottom w:val="none" w:sz="0" w:space="0" w:color="auto"/>
            <w:right w:val="none" w:sz="0" w:space="0" w:color="auto"/>
          </w:divBdr>
          <w:divsChild>
            <w:div w:id="1077360587">
              <w:marLeft w:val="0"/>
              <w:marRight w:val="0"/>
              <w:marTop w:val="0"/>
              <w:marBottom w:val="0"/>
              <w:divBdr>
                <w:top w:val="none" w:sz="0" w:space="0" w:color="auto"/>
                <w:left w:val="none" w:sz="0" w:space="0" w:color="auto"/>
                <w:bottom w:val="none" w:sz="0" w:space="0" w:color="auto"/>
                <w:right w:val="none" w:sz="0" w:space="0" w:color="auto"/>
              </w:divBdr>
              <w:divsChild>
                <w:div w:id="1560625208">
                  <w:marLeft w:val="0"/>
                  <w:marRight w:val="0"/>
                  <w:marTop w:val="0"/>
                  <w:marBottom w:val="0"/>
                  <w:divBdr>
                    <w:top w:val="none" w:sz="0" w:space="0" w:color="auto"/>
                    <w:left w:val="none" w:sz="0" w:space="0" w:color="auto"/>
                    <w:bottom w:val="none" w:sz="0" w:space="0" w:color="auto"/>
                    <w:right w:val="none" w:sz="0" w:space="0" w:color="auto"/>
                  </w:divBdr>
                </w:div>
              </w:divsChild>
            </w:div>
            <w:div w:id="373965703">
              <w:marLeft w:val="0"/>
              <w:marRight w:val="0"/>
              <w:marTop w:val="0"/>
              <w:marBottom w:val="0"/>
              <w:divBdr>
                <w:top w:val="none" w:sz="0" w:space="0" w:color="auto"/>
                <w:left w:val="none" w:sz="0" w:space="0" w:color="auto"/>
                <w:bottom w:val="none" w:sz="0" w:space="0" w:color="auto"/>
                <w:right w:val="none" w:sz="0" w:space="0" w:color="auto"/>
              </w:divBdr>
              <w:divsChild>
                <w:div w:id="2109889735">
                  <w:marLeft w:val="0"/>
                  <w:marRight w:val="0"/>
                  <w:marTop w:val="0"/>
                  <w:marBottom w:val="0"/>
                  <w:divBdr>
                    <w:top w:val="none" w:sz="0" w:space="0" w:color="auto"/>
                    <w:left w:val="none" w:sz="0" w:space="0" w:color="auto"/>
                    <w:bottom w:val="none" w:sz="0" w:space="0" w:color="auto"/>
                    <w:right w:val="none" w:sz="0" w:space="0" w:color="auto"/>
                  </w:divBdr>
                </w:div>
                <w:div w:id="150300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034552">
      <w:bodyDiv w:val="1"/>
      <w:marLeft w:val="0"/>
      <w:marRight w:val="0"/>
      <w:marTop w:val="0"/>
      <w:marBottom w:val="0"/>
      <w:divBdr>
        <w:top w:val="none" w:sz="0" w:space="0" w:color="auto"/>
        <w:left w:val="none" w:sz="0" w:space="0" w:color="auto"/>
        <w:bottom w:val="none" w:sz="0" w:space="0" w:color="auto"/>
        <w:right w:val="none" w:sz="0" w:space="0" w:color="auto"/>
      </w:divBdr>
      <w:divsChild>
        <w:div w:id="1108962568">
          <w:marLeft w:val="0"/>
          <w:marRight w:val="0"/>
          <w:marTop w:val="0"/>
          <w:marBottom w:val="0"/>
          <w:divBdr>
            <w:top w:val="none" w:sz="0" w:space="0" w:color="auto"/>
            <w:left w:val="none" w:sz="0" w:space="0" w:color="auto"/>
            <w:bottom w:val="none" w:sz="0" w:space="0" w:color="auto"/>
            <w:right w:val="none" w:sz="0" w:space="0" w:color="auto"/>
          </w:divBdr>
          <w:divsChild>
            <w:div w:id="1437405469">
              <w:marLeft w:val="0"/>
              <w:marRight w:val="0"/>
              <w:marTop w:val="0"/>
              <w:marBottom w:val="0"/>
              <w:divBdr>
                <w:top w:val="none" w:sz="0" w:space="0" w:color="auto"/>
                <w:left w:val="none" w:sz="0" w:space="0" w:color="auto"/>
                <w:bottom w:val="none" w:sz="0" w:space="0" w:color="auto"/>
                <w:right w:val="none" w:sz="0" w:space="0" w:color="auto"/>
              </w:divBdr>
              <w:divsChild>
                <w:div w:id="2010980520">
                  <w:marLeft w:val="0"/>
                  <w:marRight w:val="0"/>
                  <w:marTop w:val="0"/>
                  <w:marBottom w:val="0"/>
                  <w:divBdr>
                    <w:top w:val="none" w:sz="0" w:space="0" w:color="auto"/>
                    <w:left w:val="none" w:sz="0" w:space="0" w:color="auto"/>
                    <w:bottom w:val="none" w:sz="0" w:space="0" w:color="auto"/>
                    <w:right w:val="none" w:sz="0" w:space="0" w:color="auto"/>
                  </w:divBdr>
                </w:div>
              </w:divsChild>
            </w:div>
            <w:div w:id="2144688283">
              <w:marLeft w:val="0"/>
              <w:marRight w:val="0"/>
              <w:marTop w:val="0"/>
              <w:marBottom w:val="0"/>
              <w:divBdr>
                <w:top w:val="none" w:sz="0" w:space="0" w:color="auto"/>
                <w:left w:val="none" w:sz="0" w:space="0" w:color="auto"/>
                <w:bottom w:val="none" w:sz="0" w:space="0" w:color="auto"/>
                <w:right w:val="none" w:sz="0" w:space="0" w:color="auto"/>
              </w:divBdr>
              <w:divsChild>
                <w:div w:id="51033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74642">
          <w:marLeft w:val="0"/>
          <w:marRight w:val="0"/>
          <w:marTop w:val="0"/>
          <w:marBottom w:val="0"/>
          <w:divBdr>
            <w:top w:val="none" w:sz="0" w:space="0" w:color="auto"/>
            <w:left w:val="none" w:sz="0" w:space="0" w:color="auto"/>
            <w:bottom w:val="none" w:sz="0" w:space="0" w:color="auto"/>
            <w:right w:val="none" w:sz="0" w:space="0" w:color="auto"/>
          </w:divBdr>
          <w:divsChild>
            <w:div w:id="1943684398">
              <w:marLeft w:val="0"/>
              <w:marRight w:val="0"/>
              <w:marTop w:val="0"/>
              <w:marBottom w:val="0"/>
              <w:divBdr>
                <w:top w:val="none" w:sz="0" w:space="0" w:color="auto"/>
                <w:left w:val="none" w:sz="0" w:space="0" w:color="auto"/>
                <w:bottom w:val="none" w:sz="0" w:space="0" w:color="auto"/>
                <w:right w:val="none" w:sz="0" w:space="0" w:color="auto"/>
              </w:divBdr>
              <w:divsChild>
                <w:div w:id="1751193995">
                  <w:marLeft w:val="0"/>
                  <w:marRight w:val="0"/>
                  <w:marTop w:val="0"/>
                  <w:marBottom w:val="0"/>
                  <w:divBdr>
                    <w:top w:val="none" w:sz="0" w:space="0" w:color="auto"/>
                    <w:left w:val="none" w:sz="0" w:space="0" w:color="auto"/>
                    <w:bottom w:val="none" w:sz="0" w:space="0" w:color="auto"/>
                    <w:right w:val="none" w:sz="0" w:space="0" w:color="auto"/>
                  </w:divBdr>
                </w:div>
              </w:divsChild>
            </w:div>
            <w:div w:id="168563518">
              <w:marLeft w:val="0"/>
              <w:marRight w:val="0"/>
              <w:marTop w:val="0"/>
              <w:marBottom w:val="0"/>
              <w:divBdr>
                <w:top w:val="none" w:sz="0" w:space="0" w:color="auto"/>
                <w:left w:val="none" w:sz="0" w:space="0" w:color="auto"/>
                <w:bottom w:val="none" w:sz="0" w:space="0" w:color="auto"/>
                <w:right w:val="none" w:sz="0" w:space="0" w:color="auto"/>
              </w:divBdr>
              <w:divsChild>
                <w:div w:id="52271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2457">
          <w:marLeft w:val="0"/>
          <w:marRight w:val="0"/>
          <w:marTop w:val="0"/>
          <w:marBottom w:val="0"/>
          <w:divBdr>
            <w:top w:val="none" w:sz="0" w:space="0" w:color="auto"/>
            <w:left w:val="none" w:sz="0" w:space="0" w:color="auto"/>
            <w:bottom w:val="none" w:sz="0" w:space="0" w:color="auto"/>
            <w:right w:val="none" w:sz="0" w:space="0" w:color="auto"/>
          </w:divBdr>
          <w:divsChild>
            <w:div w:id="1038356351">
              <w:marLeft w:val="0"/>
              <w:marRight w:val="0"/>
              <w:marTop w:val="0"/>
              <w:marBottom w:val="0"/>
              <w:divBdr>
                <w:top w:val="none" w:sz="0" w:space="0" w:color="auto"/>
                <w:left w:val="none" w:sz="0" w:space="0" w:color="auto"/>
                <w:bottom w:val="none" w:sz="0" w:space="0" w:color="auto"/>
                <w:right w:val="none" w:sz="0" w:space="0" w:color="auto"/>
              </w:divBdr>
              <w:divsChild>
                <w:div w:id="1998217531">
                  <w:marLeft w:val="0"/>
                  <w:marRight w:val="0"/>
                  <w:marTop w:val="0"/>
                  <w:marBottom w:val="0"/>
                  <w:divBdr>
                    <w:top w:val="none" w:sz="0" w:space="0" w:color="auto"/>
                    <w:left w:val="none" w:sz="0" w:space="0" w:color="auto"/>
                    <w:bottom w:val="none" w:sz="0" w:space="0" w:color="auto"/>
                    <w:right w:val="none" w:sz="0" w:space="0" w:color="auto"/>
                  </w:divBdr>
                </w:div>
              </w:divsChild>
            </w:div>
            <w:div w:id="1351688815">
              <w:marLeft w:val="0"/>
              <w:marRight w:val="0"/>
              <w:marTop w:val="0"/>
              <w:marBottom w:val="0"/>
              <w:divBdr>
                <w:top w:val="none" w:sz="0" w:space="0" w:color="auto"/>
                <w:left w:val="none" w:sz="0" w:space="0" w:color="auto"/>
                <w:bottom w:val="none" w:sz="0" w:space="0" w:color="auto"/>
                <w:right w:val="none" w:sz="0" w:space="0" w:color="auto"/>
              </w:divBdr>
              <w:divsChild>
                <w:div w:id="198858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400081">
          <w:marLeft w:val="0"/>
          <w:marRight w:val="0"/>
          <w:marTop w:val="0"/>
          <w:marBottom w:val="0"/>
          <w:divBdr>
            <w:top w:val="none" w:sz="0" w:space="0" w:color="auto"/>
            <w:left w:val="none" w:sz="0" w:space="0" w:color="auto"/>
            <w:bottom w:val="none" w:sz="0" w:space="0" w:color="auto"/>
            <w:right w:val="none" w:sz="0" w:space="0" w:color="auto"/>
          </w:divBdr>
          <w:divsChild>
            <w:div w:id="1012759161">
              <w:marLeft w:val="0"/>
              <w:marRight w:val="0"/>
              <w:marTop w:val="0"/>
              <w:marBottom w:val="0"/>
              <w:divBdr>
                <w:top w:val="none" w:sz="0" w:space="0" w:color="auto"/>
                <w:left w:val="none" w:sz="0" w:space="0" w:color="auto"/>
                <w:bottom w:val="none" w:sz="0" w:space="0" w:color="auto"/>
                <w:right w:val="none" w:sz="0" w:space="0" w:color="auto"/>
              </w:divBdr>
              <w:divsChild>
                <w:div w:id="832061392">
                  <w:marLeft w:val="0"/>
                  <w:marRight w:val="0"/>
                  <w:marTop w:val="0"/>
                  <w:marBottom w:val="0"/>
                  <w:divBdr>
                    <w:top w:val="none" w:sz="0" w:space="0" w:color="auto"/>
                    <w:left w:val="none" w:sz="0" w:space="0" w:color="auto"/>
                    <w:bottom w:val="none" w:sz="0" w:space="0" w:color="auto"/>
                    <w:right w:val="none" w:sz="0" w:space="0" w:color="auto"/>
                  </w:divBdr>
                </w:div>
              </w:divsChild>
            </w:div>
            <w:div w:id="980037837">
              <w:marLeft w:val="0"/>
              <w:marRight w:val="0"/>
              <w:marTop w:val="0"/>
              <w:marBottom w:val="0"/>
              <w:divBdr>
                <w:top w:val="none" w:sz="0" w:space="0" w:color="auto"/>
                <w:left w:val="none" w:sz="0" w:space="0" w:color="auto"/>
                <w:bottom w:val="none" w:sz="0" w:space="0" w:color="auto"/>
                <w:right w:val="none" w:sz="0" w:space="0" w:color="auto"/>
              </w:divBdr>
              <w:divsChild>
                <w:div w:id="64239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278386">
          <w:marLeft w:val="0"/>
          <w:marRight w:val="0"/>
          <w:marTop w:val="0"/>
          <w:marBottom w:val="0"/>
          <w:divBdr>
            <w:top w:val="none" w:sz="0" w:space="0" w:color="auto"/>
            <w:left w:val="none" w:sz="0" w:space="0" w:color="auto"/>
            <w:bottom w:val="none" w:sz="0" w:space="0" w:color="auto"/>
            <w:right w:val="none" w:sz="0" w:space="0" w:color="auto"/>
          </w:divBdr>
          <w:divsChild>
            <w:div w:id="337389797">
              <w:marLeft w:val="0"/>
              <w:marRight w:val="0"/>
              <w:marTop w:val="0"/>
              <w:marBottom w:val="0"/>
              <w:divBdr>
                <w:top w:val="none" w:sz="0" w:space="0" w:color="auto"/>
                <w:left w:val="none" w:sz="0" w:space="0" w:color="auto"/>
                <w:bottom w:val="none" w:sz="0" w:space="0" w:color="auto"/>
                <w:right w:val="none" w:sz="0" w:space="0" w:color="auto"/>
              </w:divBdr>
              <w:divsChild>
                <w:div w:id="182742518">
                  <w:marLeft w:val="0"/>
                  <w:marRight w:val="0"/>
                  <w:marTop w:val="0"/>
                  <w:marBottom w:val="0"/>
                  <w:divBdr>
                    <w:top w:val="none" w:sz="0" w:space="0" w:color="auto"/>
                    <w:left w:val="none" w:sz="0" w:space="0" w:color="auto"/>
                    <w:bottom w:val="none" w:sz="0" w:space="0" w:color="auto"/>
                    <w:right w:val="none" w:sz="0" w:space="0" w:color="auto"/>
                  </w:divBdr>
                </w:div>
              </w:divsChild>
            </w:div>
            <w:div w:id="210771469">
              <w:marLeft w:val="0"/>
              <w:marRight w:val="0"/>
              <w:marTop w:val="0"/>
              <w:marBottom w:val="0"/>
              <w:divBdr>
                <w:top w:val="none" w:sz="0" w:space="0" w:color="auto"/>
                <w:left w:val="none" w:sz="0" w:space="0" w:color="auto"/>
                <w:bottom w:val="none" w:sz="0" w:space="0" w:color="auto"/>
                <w:right w:val="none" w:sz="0" w:space="0" w:color="auto"/>
              </w:divBdr>
              <w:divsChild>
                <w:div w:id="16039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431082">
      <w:bodyDiv w:val="1"/>
      <w:marLeft w:val="0"/>
      <w:marRight w:val="0"/>
      <w:marTop w:val="0"/>
      <w:marBottom w:val="0"/>
      <w:divBdr>
        <w:top w:val="none" w:sz="0" w:space="0" w:color="auto"/>
        <w:left w:val="none" w:sz="0" w:space="0" w:color="auto"/>
        <w:bottom w:val="none" w:sz="0" w:space="0" w:color="auto"/>
        <w:right w:val="none" w:sz="0" w:space="0" w:color="auto"/>
      </w:divBdr>
      <w:divsChild>
        <w:div w:id="171068688">
          <w:marLeft w:val="0"/>
          <w:marRight w:val="0"/>
          <w:marTop w:val="0"/>
          <w:marBottom w:val="0"/>
          <w:divBdr>
            <w:top w:val="none" w:sz="0" w:space="0" w:color="auto"/>
            <w:left w:val="none" w:sz="0" w:space="0" w:color="auto"/>
            <w:bottom w:val="none" w:sz="0" w:space="0" w:color="auto"/>
            <w:right w:val="none" w:sz="0" w:space="0" w:color="auto"/>
          </w:divBdr>
          <w:divsChild>
            <w:div w:id="1001467688">
              <w:marLeft w:val="0"/>
              <w:marRight w:val="0"/>
              <w:marTop w:val="0"/>
              <w:marBottom w:val="0"/>
              <w:divBdr>
                <w:top w:val="none" w:sz="0" w:space="0" w:color="auto"/>
                <w:left w:val="none" w:sz="0" w:space="0" w:color="auto"/>
                <w:bottom w:val="none" w:sz="0" w:space="0" w:color="auto"/>
                <w:right w:val="none" w:sz="0" w:space="0" w:color="auto"/>
              </w:divBdr>
              <w:divsChild>
                <w:div w:id="1957518634">
                  <w:marLeft w:val="0"/>
                  <w:marRight w:val="0"/>
                  <w:marTop w:val="0"/>
                  <w:marBottom w:val="0"/>
                  <w:divBdr>
                    <w:top w:val="none" w:sz="0" w:space="0" w:color="auto"/>
                    <w:left w:val="none" w:sz="0" w:space="0" w:color="auto"/>
                    <w:bottom w:val="none" w:sz="0" w:space="0" w:color="auto"/>
                    <w:right w:val="none" w:sz="0" w:space="0" w:color="auto"/>
                  </w:divBdr>
                </w:div>
              </w:divsChild>
            </w:div>
            <w:div w:id="927226716">
              <w:marLeft w:val="0"/>
              <w:marRight w:val="0"/>
              <w:marTop w:val="0"/>
              <w:marBottom w:val="0"/>
              <w:divBdr>
                <w:top w:val="none" w:sz="0" w:space="0" w:color="auto"/>
                <w:left w:val="none" w:sz="0" w:space="0" w:color="auto"/>
                <w:bottom w:val="none" w:sz="0" w:space="0" w:color="auto"/>
                <w:right w:val="none" w:sz="0" w:space="0" w:color="auto"/>
              </w:divBdr>
              <w:divsChild>
                <w:div w:id="95502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2899">
          <w:marLeft w:val="0"/>
          <w:marRight w:val="0"/>
          <w:marTop w:val="0"/>
          <w:marBottom w:val="0"/>
          <w:divBdr>
            <w:top w:val="none" w:sz="0" w:space="0" w:color="auto"/>
            <w:left w:val="none" w:sz="0" w:space="0" w:color="auto"/>
            <w:bottom w:val="none" w:sz="0" w:space="0" w:color="auto"/>
            <w:right w:val="none" w:sz="0" w:space="0" w:color="auto"/>
          </w:divBdr>
          <w:divsChild>
            <w:div w:id="449859505">
              <w:marLeft w:val="0"/>
              <w:marRight w:val="0"/>
              <w:marTop w:val="0"/>
              <w:marBottom w:val="0"/>
              <w:divBdr>
                <w:top w:val="none" w:sz="0" w:space="0" w:color="auto"/>
                <w:left w:val="none" w:sz="0" w:space="0" w:color="auto"/>
                <w:bottom w:val="none" w:sz="0" w:space="0" w:color="auto"/>
                <w:right w:val="none" w:sz="0" w:space="0" w:color="auto"/>
              </w:divBdr>
              <w:divsChild>
                <w:div w:id="1928727717">
                  <w:marLeft w:val="0"/>
                  <w:marRight w:val="0"/>
                  <w:marTop w:val="0"/>
                  <w:marBottom w:val="0"/>
                  <w:divBdr>
                    <w:top w:val="none" w:sz="0" w:space="0" w:color="auto"/>
                    <w:left w:val="none" w:sz="0" w:space="0" w:color="auto"/>
                    <w:bottom w:val="none" w:sz="0" w:space="0" w:color="auto"/>
                    <w:right w:val="none" w:sz="0" w:space="0" w:color="auto"/>
                  </w:divBdr>
                </w:div>
              </w:divsChild>
            </w:div>
            <w:div w:id="933973969">
              <w:marLeft w:val="0"/>
              <w:marRight w:val="0"/>
              <w:marTop w:val="0"/>
              <w:marBottom w:val="0"/>
              <w:divBdr>
                <w:top w:val="none" w:sz="0" w:space="0" w:color="auto"/>
                <w:left w:val="none" w:sz="0" w:space="0" w:color="auto"/>
                <w:bottom w:val="none" w:sz="0" w:space="0" w:color="auto"/>
                <w:right w:val="none" w:sz="0" w:space="0" w:color="auto"/>
              </w:divBdr>
              <w:divsChild>
                <w:div w:id="159273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400153">
          <w:marLeft w:val="0"/>
          <w:marRight w:val="0"/>
          <w:marTop w:val="0"/>
          <w:marBottom w:val="0"/>
          <w:divBdr>
            <w:top w:val="none" w:sz="0" w:space="0" w:color="auto"/>
            <w:left w:val="none" w:sz="0" w:space="0" w:color="auto"/>
            <w:bottom w:val="none" w:sz="0" w:space="0" w:color="auto"/>
            <w:right w:val="none" w:sz="0" w:space="0" w:color="auto"/>
          </w:divBdr>
          <w:divsChild>
            <w:div w:id="657461259">
              <w:marLeft w:val="0"/>
              <w:marRight w:val="0"/>
              <w:marTop w:val="0"/>
              <w:marBottom w:val="0"/>
              <w:divBdr>
                <w:top w:val="none" w:sz="0" w:space="0" w:color="auto"/>
                <w:left w:val="none" w:sz="0" w:space="0" w:color="auto"/>
                <w:bottom w:val="none" w:sz="0" w:space="0" w:color="auto"/>
                <w:right w:val="none" w:sz="0" w:space="0" w:color="auto"/>
              </w:divBdr>
              <w:divsChild>
                <w:div w:id="1580407227">
                  <w:marLeft w:val="0"/>
                  <w:marRight w:val="0"/>
                  <w:marTop w:val="0"/>
                  <w:marBottom w:val="0"/>
                  <w:divBdr>
                    <w:top w:val="none" w:sz="0" w:space="0" w:color="auto"/>
                    <w:left w:val="none" w:sz="0" w:space="0" w:color="auto"/>
                    <w:bottom w:val="none" w:sz="0" w:space="0" w:color="auto"/>
                    <w:right w:val="none" w:sz="0" w:space="0" w:color="auto"/>
                  </w:divBdr>
                </w:div>
              </w:divsChild>
            </w:div>
            <w:div w:id="325400590">
              <w:marLeft w:val="0"/>
              <w:marRight w:val="0"/>
              <w:marTop w:val="0"/>
              <w:marBottom w:val="0"/>
              <w:divBdr>
                <w:top w:val="none" w:sz="0" w:space="0" w:color="auto"/>
                <w:left w:val="none" w:sz="0" w:space="0" w:color="auto"/>
                <w:bottom w:val="none" w:sz="0" w:space="0" w:color="auto"/>
                <w:right w:val="none" w:sz="0" w:space="0" w:color="auto"/>
              </w:divBdr>
              <w:divsChild>
                <w:div w:id="1755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71481">
          <w:marLeft w:val="0"/>
          <w:marRight w:val="0"/>
          <w:marTop w:val="0"/>
          <w:marBottom w:val="0"/>
          <w:divBdr>
            <w:top w:val="none" w:sz="0" w:space="0" w:color="auto"/>
            <w:left w:val="none" w:sz="0" w:space="0" w:color="auto"/>
            <w:bottom w:val="none" w:sz="0" w:space="0" w:color="auto"/>
            <w:right w:val="none" w:sz="0" w:space="0" w:color="auto"/>
          </w:divBdr>
          <w:divsChild>
            <w:div w:id="1975409985">
              <w:marLeft w:val="0"/>
              <w:marRight w:val="0"/>
              <w:marTop w:val="0"/>
              <w:marBottom w:val="0"/>
              <w:divBdr>
                <w:top w:val="none" w:sz="0" w:space="0" w:color="auto"/>
                <w:left w:val="none" w:sz="0" w:space="0" w:color="auto"/>
                <w:bottom w:val="none" w:sz="0" w:space="0" w:color="auto"/>
                <w:right w:val="none" w:sz="0" w:space="0" w:color="auto"/>
              </w:divBdr>
              <w:divsChild>
                <w:div w:id="251663888">
                  <w:marLeft w:val="0"/>
                  <w:marRight w:val="0"/>
                  <w:marTop w:val="0"/>
                  <w:marBottom w:val="0"/>
                  <w:divBdr>
                    <w:top w:val="none" w:sz="0" w:space="0" w:color="auto"/>
                    <w:left w:val="none" w:sz="0" w:space="0" w:color="auto"/>
                    <w:bottom w:val="none" w:sz="0" w:space="0" w:color="auto"/>
                    <w:right w:val="none" w:sz="0" w:space="0" w:color="auto"/>
                  </w:divBdr>
                </w:div>
              </w:divsChild>
            </w:div>
            <w:div w:id="1571185540">
              <w:marLeft w:val="0"/>
              <w:marRight w:val="0"/>
              <w:marTop w:val="0"/>
              <w:marBottom w:val="0"/>
              <w:divBdr>
                <w:top w:val="none" w:sz="0" w:space="0" w:color="auto"/>
                <w:left w:val="none" w:sz="0" w:space="0" w:color="auto"/>
                <w:bottom w:val="none" w:sz="0" w:space="0" w:color="auto"/>
                <w:right w:val="none" w:sz="0" w:space="0" w:color="auto"/>
              </w:divBdr>
              <w:divsChild>
                <w:div w:id="928007639">
                  <w:marLeft w:val="0"/>
                  <w:marRight w:val="0"/>
                  <w:marTop w:val="0"/>
                  <w:marBottom w:val="0"/>
                  <w:divBdr>
                    <w:top w:val="none" w:sz="0" w:space="0" w:color="auto"/>
                    <w:left w:val="none" w:sz="0" w:space="0" w:color="auto"/>
                    <w:bottom w:val="none" w:sz="0" w:space="0" w:color="auto"/>
                    <w:right w:val="none" w:sz="0" w:space="0" w:color="auto"/>
                  </w:divBdr>
                </w:div>
                <w:div w:id="143231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22206">
          <w:marLeft w:val="0"/>
          <w:marRight w:val="0"/>
          <w:marTop w:val="0"/>
          <w:marBottom w:val="0"/>
          <w:divBdr>
            <w:top w:val="none" w:sz="0" w:space="0" w:color="auto"/>
            <w:left w:val="none" w:sz="0" w:space="0" w:color="auto"/>
            <w:bottom w:val="none" w:sz="0" w:space="0" w:color="auto"/>
            <w:right w:val="none" w:sz="0" w:space="0" w:color="auto"/>
          </w:divBdr>
          <w:divsChild>
            <w:div w:id="1994210625">
              <w:marLeft w:val="0"/>
              <w:marRight w:val="0"/>
              <w:marTop w:val="0"/>
              <w:marBottom w:val="0"/>
              <w:divBdr>
                <w:top w:val="none" w:sz="0" w:space="0" w:color="auto"/>
                <w:left w:val="none" w:sz="0" w:space="0" w:color="auto"/>
                <w:bottom w:val="none" w:sz="0" w:space="0" w:color="auto"/>
                <w:right w:val="none" w:sz="0" w:space="0" w:color="auto"/>
              </w:divBdr>
              <w:divsChild>
                <w:div w:id="766344270">
                  <w:marLeft w:val="0"/>
                  <w:marRight w:val="0"/>
                  <w:marTop w:val="0"/>
                  <w:marBottom w:val="0"/>
                  <w:divBdr>
                    <w:top w:val="none" w:sz="0" w:space="0" w:color="auto"/>
                    <w:left w:val="none" w:sz="0" w:space="0" w:color="auto"/>
                    <w:bottom w:val="none" w:sz="0" w:space="0" w:color="auto"/>
                    <w:right w:val="none" w:sz="0" w:space="0" w:color="auto"/>
                  </w:divBdr>
                </w:div>
              </w:divsChild>
            </w:div>
            <w:div w:id="1326784805">
              <w:marLeft w:val="0"/>
              <w:marRight w:val="0"/>
              <w:marTop w:val="0"/>
              <w:marBottom w:val="0"/>
              <w:divBdr>
                <w:top w:val="none" w:sz="0" w:space="0" w:color="auto"/>
                <w:left w:val="none" w:sz="0" w:space="0" w:color="auto"/>
                <w:bottom w:val="none" w:sz="0" w:space="0" w:color="auto"/>
                <w:right w:val="none" w:sz="0" w:space="0" w:color="auto"/>
              </w:divBdr>
              <w:divsChild>
                <w:div w:id="2447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53458">
          <w:marLeft w:val="0"/>
          <w:marRight w:val="0"/>
          <w:marTop w:val="0"/>
          <w:marBottom w:val="0"/>
          <w:divBdr>
            <w:top w:val="none" w:sz="0" w:space="0" w:color="auto"/>
            <w:left w:val="none" w:sz="0" w:space="0" w:color="auto"/>
            <w:bottom w:val="none" w:sz="0" w:space="0" w:color="auto"/>
            <w:right w:val="none" w:sz="0" w:space="0" w:color="auto"/>
          </w:divBdr>
          <w:divsChild>
            <w:div w:id="275674664">
              <w:marLeft w:val="0"/>
              <w:marRight w:val="0"/>
              <w:marTop w:val="0"/>
              <w:marBottom w:val="0"/>
              <w:divBdr>
                <w:top w:val="none" w:sz="0" w:space="0" w:color="auto"/>
                <w:left w:val="none" w:sz="0" w:space="0" w:color="auto"/>
                <w:bottom w:val="none" w:sz="0" w:space="0" w:color="auto"/>
                <w:right w:val="none" w:sz="0" w:space="0" w:color="auto"/>
              </w:divBdr>
              <w:divsChild>
                <w:div w:id="76362265">
                  <w:marLeft w:val="0"/>
                  <w:marRight w:val="0"/>
                  <w:marTop w:val="0"/>
                  <w:marBottom w:val="0"/>
                  <w:divBdr>
                    <w:top w:val="none" w:sz="0" w:space="0" w:color="auto"/>
                    <w:left w:val="none" w:sz="0" w:space="0" w:color="auto"/>
                    <w:bottom w:val="none" w:sz="0" w:space="0" w:color="auto"/>
                    <w:right w:val="none" w:sz="0" w:space="0" w:color="auto"/>
                  </w:divBdr>
                </w:div>
              </w:divsChild>
            </w:div>
            <w:div w:id="384913012">
              <w:marLeft w:val="0"/>
              <w:marRight w:val="0"/>
              <w:marTop w:val="0"/>
              <w:marBottom w:val="0"/>
              <w:divBdr>
                <w:top w:val="none" w:sz="0" w:space="0" w:color="auto"/>
                <w:left w:val="none" w:sz="0" w:space="0" w:color="auto"/>
                <w:bottom w:val="none" w:sz="0" w:space="0" w:color="auto"/>
                <w:right w:val="none" w:sz="0" w:space="0" w:color="auto"/>
              </w:divBdr>
              <w:divsChild>
                <w:div w:id="200508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42861">
          <w:marLeft w:val="0"/>
          <w:marRight w:val="0"/>
          <w:marTop w:val="0"/>
          <w:marBottom w:val="0"/>
          <w:divBdr>
            <w:top w:val="none" w:sz="0" w:space="0" w:color="auto"/>
            <w:left w:val="none" w:sz="0" w:space="0" w:color="auto"/>
            <w:bottom w:val="none" w:sz="0" w:space="0" w:color="auto"/>
            <w:right w:val="none" w:sz="0" w:space="0" w:color="auto"/>
          </w:divBdr>
          <w:divsChild>
            <w:div w:id="1072778041">
              <w:marLeft w:val="0"/>
              <w:marRight w:val="0"/>
              <w:marTop w:val="0"/>
              <w:marBottom w:val="0"/>
              <w:divBdr>
                <w:top w:val="none" w:sz="0" w:space="0" w:color="auto"/>
                <w:left w:val="none" w:sz="0" w:space="0" w:color="auto"/>
                <w:bottom w:val="none" w:sz="0" w:space="0" w:color="auto"/>
                <w:right w:val="none" w:sz="0" w:space="0" w:color="auto"/>
              </w:divBdr>
              <w:divsChild>
                <w:div w:id="422577911">
                  <w:marLeft w:val="0"/>
                  <w:marRight w:val="0"/>
                  <w:marTop w:val="0"/>
                  <w:marBottom w:val="0"/>
                  <w:divBdr>
                    <w:top w:val="none" w:sz="0" w:space="0" w:color="auto"/>
                    <w:left w:val="none" w:sz="0" w:space="0" w:color="auto"/>
                    <w:bottom w:val="none" w:sz="0" w:space="0" w:color="auto"/>
                    <w:right w:val="none" w:sz="0" w:space="0" w:color="auto"/>
                  </w:divBdr>
                </w:div>
              </w:divsChild>
            </w:div>
            <w:div w:id="1220239143">
              <w:marLeft w:val="0"/>
              <w:marRight w:val="0"/>
              <w:marTop w:val="0"/>
              <w:marBottom w:val="0"/>
              <w:divBdr>
                <w:top w:val="none" w:sz="0" w:space="0" w:color="auto"/>
                <w:left w:val="none" w:sz="0" w:space="0" w:color="auto"/>
                <w:bottom w:val="none" w:sz="0" w:space="0" w:color="auto"/>
                <w:right w:val="none" w:sz="0" w:space="0" w:color="auto"/>
              </w:divBdr>
              <w:divsChild>
                <w:div w:id="149214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16273">
          <w:marLeft w:val="0"/>
          <w:marRight w:val="0"/>
          <w:marTop w:val="0"/>
          <w:marBottom w:val="0"/>
          <w:divBdr>
            <w:top w:val="none" w:sz="0" w:space="0" w:color="auto"/>
            <w:left w:val="none" w:sz="0" w:space="0" w:color="auto"/>
            <w:bottom w:val="none" w:sz="0" w:space="0" w:color="auto"/>
            <w:right w:val="none" w:sz="0" w:space="0" w:color="auto"/>
          </w:divBdr>
          <w:divsChild>
            <w:div w:id="1837500024">
              <w:marLeft w:val="0"/>
              <w:marRight w:val="0"/>
              <w:marTop w:val="0"/>
              <w:marBottom w:val="0"/>
              <w:divBdr>
                <w:top w:val="none" w:sz="0" w:space="0" w:color="auto"/>
                <w:left w:val="none" w:sz="0" w:space="0" w:color="auto"/>
                <w:bottom w:val="none" w:sz="0" w:space="0" w:color="auto"/>
                <w:right w:val="none" w:sz="0" w:space="0" w:color="auto"/>
              </w:divBdr>
              <w:divsChild>
                <w:div w:id="1425684804">
                  <w:marLeft w:val="0"/>
                  <w:marRight w:val="0"/>
                  <w:marTop w:val="0"/>
                  <w:marBottom w:val="0"/>
                  <w:divBdr>
                    <w:top w:val="none" w:sz="0" w:space="0" w:color="auto"/>
                    <w:left w:val="none" w:sz="0" w:space="0" w:color="auto"/>
                    <w:bottom w:val="none" w:sz="0" w:space="0" w:color="auto"/>
                    <w:right w:val="none" w:sz="0" w:space="0" w:color="auto"/>
                  </w:divBdr>
                </w:div>
              </w:divsChild>
            </w:div>
            <w:div w:id="188304085">
              <w:marLeft w:val="0"/>
              <w:marRight w:val="0"/>
              <w:marTop w:val="0"/>
              <w:marBottom w:val="0"/>
              <w:divBdr>
                <w:top w:val="none" w:sz="0" w:space="0" w:color="auto"/>
                <w:left w:val="none" w:sz="0" w:space="0" w:color="auto"/>
                <w:bottom w:val="none" w:sz="0" w:space="0" w:color="auto"/>
                <w:right w:val="none" w:sz="0" w:space="0" w:color="auto"/>
              </w:divBdr>
              <w:divsChild>
                <w:div w:id="7720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21369">
          <w:marLeft w:val="0"/>
          <w:marRight w:val="0"/>
          <w:marTop w:val="0"/>
          <w:marBottom w:val="0"/>
          <w:divBdr>
            <w:top w:val="none" w:sz="0" w:space="0" w:color="auto"/>
            <w:left w:val="none" w:sz="0" w:space="0" w:color="auto"/>
            <w:bottom w:val="none" w:sz="0" w:space="0" w:color="auto"/>
            <w:right w:val="none" w:sz="0" w:space="0" w:color="auto"/>
          </w:divBdr>
          <w:divsChild>
            <w:div w:id="2087455329">
              <w:marLeft w:val="0"/>
              <w:marRight w:val="0"/>
              <w:marTop w:val="0"/>
              <w:marBottom w:val="0"/>
              <w:divBdr>
                <w:top w:val="none" w:sz="0" w:space="0" w:color="auto"/>
                <w:left w:val="none" w:sz="0" w:space="0" w:color="auto"/>
                <w:bottom w:val="none" w:sz="0" w:space="0" w:color="auto"/>
                <w:right w:val="none" w:sz="0" w:space="0" w:color="auto"/>
              </w:divBdr>
              <w:divsChild>
                <w:div w:id="1910572596">
                  <w:marLeft w:val="0"/>
                  <w:marRight w:val="0"/>
                  <w:marTop w:val="0"/>
                  <w:marBottom w:val="0"/>
                  <w:divBdr>
                    <w:top w:val="none" w:sz="0" w:space="0" w:color="auto"/>
                    <w:left w:val="none" w:sz="0" w:space="0" w:color="auto"/>
                    <w:bottom w:val="none" w:sz="0" w:space="0" w:color="auto"/>
                    <w:right w:val="none" w:sz="0" w:space="0" w:color="auto"/>
                  </w:divBdr>
                </w:div>
              </w:divsChild>
            </w:div>
            <w:div w:id="1268931601">
              <w:marLeft w:val="0"/>
              <w:marRight w:val="0"/>
              <w:marTop w:val="0"/>
              <w:marBottom w:val="0"/>
              <w:divBdr>
                <w:top w:val="none" w:sz="0" w:space="0" w:color="auto"/>
                <w:left w:val="none" w:sz="0" w:space="0" w:color="auto"/>
                <w:bottom w:val="none" w:sz="0" w:space="0" w:color="auto"/>
                <w:right w:val="none" w:sz="0" w:space="0" w:color="auto"/>
              </w:divBdr>
              <w:divsChild>
                <w:div w:id="100991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656158">
      <w:bodyDiv w:val="1"/>
      <w:marLeft w:val="0"/>
      <w:marRight w:val="0"/>
      <w:marTop w:val="0"/>
      <w:marBottom w:val="0"/>
      <w:divBdr>
        <w:top w:val="none" w:sz="0" w:space="0" w:color="auto"/>
        <w:left w:val="none" w:sz="0" w:space="0" w:color="auto"/>
        <w:bottom w:val="none" w:sz="0" w:space="0" w:color="auto"/>
        <w:right w:val="none" w:sz="0" w:space="0" w:color="auto"/>
      </w:divBdr>
      <w:divsChild>
        <w:div w:id="1766413046">
          <w:marLeft w:val="0"/>
          <w:marRight w:val="0"/>
          <w:marTop w:val="0"/>
          <w:marBottom w:val="0"/>
          <w:divBdr>
            <w:top w:val="none" w:sz="0" w:space="0" w:color="auto"/>
            <w:left w:val="none" w:sz="0" w:space="0" w:color="auto"/>
            <w:bottom w:val="none" w:sz="0" w:space="0" w:color="auto"/>
            <w:right w:val="none" w:sz="0" w:space="0" w:color="auto"/>
          </w:divBdr>
          <w:divsChild>
            <w:div w:id="244457224">
              <w:marLeft w:val="0"/>
              <w:marRight w:val="0"/>
              <w:marTop w:val="0"/>
              <w:marBottom w:val="0"/>
              <w:divBdr>
                <w:top w:val="none" w:sz="0" w:space="0" w:color="auto"/>
                <w:left w:val="none" w:sz="0" w:space="0" w:color="auto"/>
                <w:bottom w:val="none" w:sz="0" w:space="0" w:color="auto"/>
                <w:right w:val="none" w:sz="0" w:space="0" w:color="auto"/>
              </w:divBdr>
              <w:divsChild>
                <w:div w:id="350496975">
                  <w:marLeft w:val="0"/>
                  <w:marRight w:val="0"/>
                  <w:marTop w:val="0"/>
                  <w:marBottom w:val="0"/>
                  <w:divBdr>
                    <w:top w:val="none" w:sz="0" w:space="0" w:color="auto"/>
                    <w:left w:val="none" w:sz="0" w:space="0" w:color="auto"/>
                    <w:bottom w:val="none" w:sz="0" w:space="0" w:color="auto"/>
                    <w:right w:val="none" w:sz="0" w:space="0" w:color="auto"/>
                  </w:divBdr>
                </w:div>
              </w:divsChild>
            </w:div>
            <w:div w:id="147405714">
              <w:marLeft w:val="0"/>
              <w:marRight w:val="0"/>
              <w:marTop w:val="0"/>
              <w:marBottom w:val="0"/>
              <w:divBdr>
                <w:top w:val="none" w:sz="0" w:space="0" w:color="auto"/>
                <w:left w:val="none" w:sz="0" w:space="0" w:color="auto"/>
                <w:bottom w:val="none" w:sz="0" w:space="0" w:color="auto"/>
                <w:right w:val="none" w:sz="0" w:space="0" w:color="auto"/>
              </w:divBdr>
              <w:divsChild>
                <w:div w:id="201290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15884">
      <w:bodyDiv w:val="1"/>
      <w:marLeft w:val="0"/>
      <w:marRight w:val="0"/>
      <w:marTop w:val="0"/>
      <w:marBottom w:val="0"/>
      <w:divBdr>
        <w:top w:val="none" w:sz="0" w:space="0" w:color="auto"/>
        <w:left w:val="none" w:sz="0" w:space="0" w:color="auto"/>
        <w:bottom w:val="none" w:sz="0" w:space="0" w:color="auto"/>
        <w:right w:val="none" w:sz="0" w:space="0" w:color="auto"/>
      </w:divBdr>
      <w:divsChild>
        <w:div w:id="856652520">
          <w:marLeft w:val="0"/>
          <w:marRight w:val="0"/>
          <w:marTop w:val="0"/>
          <w:marBottom w:val="0"/>
          <w:divBdr>
            <w:top w:val="none" w:sz="0" w:space="0" w:color="auto"/>
            <w:left w:val="none" w:sz="0" w:space="0" w:color="auto"/>
            <w:bottom w:val="none" w:sz="0" w:space="0" w:color="auto"/>
            <w:right w:val="none" w:sz="0" w:space="0" w:color="auto"/>
          </w:divBdr>
          <w:divsChild>
            <w:div w:id="716590794">
              <w:marLeft w:val="0"/>
              <w:marRight w:val="0"/>
              <w:marTop w:val="0"/>
              <w:marBottom w:val="0"/>
              <w:divBdr>
                <w:top w:val="none" w:sz="0" w:space="0" w:color="auto"/>
                <w:left w:val="none" w:sz="0" w:space="0" w:color="auto"/>
                <w:bottom w:val="none" w:sz="0" w:space="0" w:color="auto"/>
                <w:right w:val="none" w:sz="0" w:space="0" w:color="auto"/>
              </w:divBdr>
              <w:divsChild>
                <w:div w:id="400829888">
                  <w:marLeft w:val="0"/>
                  <w:marRight w:val="0"/>
                  <w:marTop w:val="0"/>
                  <w:marBottom w:val="0"/>
                  <w:divBdr>
                    <w:top w:val="none" w:sz="0" w:space="0" w:color="auto"/>
                    <w:left w:val="none" w:sz="0" w:space="0" w:color="auto"/>
                    <w:bottom w:val="none" w:sz="0" w:space="0" w:color="auto"/>
                    <w:right w:val="none" w:sz="0" w:space="0" w:color="auto"/>
                  </w:divBdr>
                </w:div>
              </w:divsChild>
            </w:div>
            <w:div w:id="776946427">
              <w:marLeft w:val="0"/>
              <w:marRight w:val="0"/>
              <w:marTop w:val="0"/>
              <w:marBottom w:val="0"/>
              <w:divBdr>
                <w:top w:val="none" w:sz="0" w:space="0" w:color="auto"/>
                <w:left w:val="none" w:sz="0" w:space="0" w:color="auto"/>
                <w:bottom w:val="none" w:sz="0" w:space="0" w:color="auto"/>
                <w:right w:val="none" w:sz="0" w:space="0" w:color="auto"/>
              </w:divBdr>
              <w:divsChild>
                <w:div w:id="781456132">
                  <w:marLeft w:val="0"/>
                  <w:marRight w:val="0"/>
                  <w:marTop w:val="0"/>
                  <w:marBottom w:val="0"/>
                  <w:divBdr>
                    <w:top w:val="none" w:sz="0" w:space="0" w:color="auto"/>
                    <w:left w:val="none" w:sz="0" w:space="0" w:color="auto"/>
                    <w:bottom w:val="none" w:sz="0" w:space="0" w:color="auto"/>
                    <w:right w:val="none" w:sz="0" w:space="0" w:color="auto"/>
                  </w:divBdr>
                </w:div>
                <w:div w:id="4972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4898">
          <w:marLeft w:val="0"/>
          <w:marRight w:val="0"/>
          <w:marTop w:val="0"/>
          <w:marBottom w:val="0"/>
          <w:divBdr>
            <w:top w:val="none" w:sz="0" w:space="0" w:color="auto"/>
            <w:left w:val="none" w:sz="0" w:space="0" w:color="auto"/>
            <w:bottom w:val="none" w:sz="0" w:space="0" w:color="auto"/>
            <w:right w:val="none" w:sz="0" w:space="0" w:color="auto"/>
          </w:divBdr>
          <w:divsChild>
            <w:div w:id="994527217">
              <w:marLeft w:val="0"/>
              <w:marRight w:val="0"/>
              <w:marTop w:val="0"/>
              <w:marBottom w:val="0"/>
              <w:divBdr>
                <w:top w:val="none" w:sz="0" w:space="0" w:color="auto"/>
                <w:left w:val="none" w:sz="0" w:space="0" w:color="auto"/>
                <w:bottom w:val="none" w:sz="0" w:space="0" w:color="auto"/>
                <w:right w:val="none" w:sz="0" w:space="0" w:color="auto"/>
              </w:divBdr>
              <w:divsChild>
                <w:div w:id="1413116771">
                  <w:marLeft w:val="0"/>
                  <w:marRight w:val="0"/>
                  <w:marTop w:val="0"/>
                  <w:marBottom w:val="0"/>
                  <w:divBdr>
                    <w:top w:val="none" w:sz="0" w:space="0" w:color="auto"/>
                    <w:left w:val="none" w:sz="0" w:space="0" w:color="auto"/>
                    <w:bottom w:val="none" w:sz="0" w:space="0" w:color="auto"/>
                    <w:right w:val="none" w:sz="0" w:space="0" w:color="auto"/>
                  </w:divBdr>
                </w:div>
              </w:divsChild>
            </w:div>
            <w:div w:id="578053995">
              <w:marLeft w:val="0"/>
              <w:marRight w:val="0"/>
              <w:marTop w:val="0"/>
              <w:marBottom w:val="0"/>
              <w:divBdr>
                <w:top w:val="none" w:sz="0" w:space="0" w:color="auto"/>
                <w:left w:val="none" w:sz="0" w:space="0" w:color="auto"/>
                <w:bottom w:val="none" w:sz="0" w:space="0" w:color="auto"/>
                <w:right w:val="none" w:sz="0" w:space="0" w:color="auto"/>
              </w:divBdr>
              <w:divsChild>
                <w:div w:id="2905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12025">
          <w:marLeft w:val="0"/>
          <w:marRight w:val="0"/>
          <w:marTop w:val="0"/>
          <w:marBottom w:val="0"/>
          <w:divBdr>
            <w:top w:val="none" w:sz="0" w:space="0" w:color="auto"/>
            <w:left w:val="none" w:sz="0" w:space="0" w:color="auto"/>
            <w:bottom w:val="none" w:sz="0" w:space="0" w:color="auto"/>
            <w:right w:val="none" w:sz="0" w:space="0" w:color="auto"/>
          </w:divBdr>
          <w:divsChild>
            <w:div w:id="1107777830">
              <w:marLeft w:val="0"/>
              <w:marRight w:val="0"/>
              <w:marTop w:val="0"/>
              <w:marBottom w:val="0"/>
              <w:divBdr>
                <w:top w:val="none" w:sz="0" w:space="0" w:color="auto"/>
                <w:left w:val="none" w:sz="0" w:space="0" w:color="auto"/>
                <w:bottom w:val="none" w:sz="0" w:space="0" w:color="auto"/>
                <w:right w:val="none" w:sz="0" w:space="0" w:color="auto"/>
              </w:divBdr>
              <w:divsChild>
                <w:div w:id="196548241">
                  <w:marLeft w:val="0"/>
                  <w:marRight w:val="0"/>
                  <w:marTop w:val="0"/>
                  <w:marBottom w:val="0"/>
                  <w:divBdr>
                    <w:top w:val="none" w:sz="0" w:space="0" w:color="auto"/>
                    <w:left w:val="none" w:sz="0" w:space="0" w:color="auto"/>
                    <w:bottom w:val="none" w:sz="0" w:space="0" w:color="auto"/>
                    <w:right w:val="none" w:sz="0" w:space="0" w:color="auto"/>
                  </w:divBdr>
                </w:div>
              </w:divsChild>
            </w:div>
            <w:div w:id="942037273">
              <w:marLeft w:val="0"/>
              <w:marRight w:val="0"/>
              <w:marTop w:val="0"/>
              <w:marBottom w:val="0"/>
              <w:divBdr>
                <w:top w:val="none" w:sz="0" w:space="0" w:color="auto"/>
                <w:left w:val="none" w:sz="0" w:space="0" w:color="auto"/>
                <w:bottom w:val="none" w:sz="0" w:space="0" w:color="auto"/>
                <w:right w:val="none" w:sz="0" w:space="0" w:color="auto"/>
              </w:divBdr>
              <w:divsChild>
                <w:div w:id="8724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02514">
      <w:bodyDiv w:val="1"/>
      <w:marLeft w:val="0"/>
      <w:marRight w:val="0"/>
      <w:marTop w:val="0"/>
      <w:marBottom w:val="0"/>
      <w:divBdr>
        <w:top w:val="none" w:sz="0" w:space="0" w:color="auto"/>
        <w:left w:val="none" w:sz="0" w:space="0" w:color="auto"/>
        <w:bottom w:val="none" w:sz="0" w:space="0" w:color="auto"/>
        <w:right w:val="none" w:sz="0" w:space="0" w:color="auto"/>
      </w:divBdr>
      <w:divsChild>
        <w:div w:id="874585396">
          <w:marLeft w:val="0"/>
          <w:marRight w:val="0"/>
          <w:marTop w:val="0"/>
          <w:marBottom w:val="0"/>
          <w:divBdr>
            <w:top w:val="none" w:sz="0" w:space="0" w:color="auto"/>
            <w:left w:val="none" w:sz="0" w:space="0" w:color="auto"/>
            <w:bottom w:val="none" w:sz="0" w:space="0" w:color="auto"/>
            <w:right w:val="none" w:sz="0" w:space="0" w:color="auto"/>
          </w:divBdr>
          <w:divsChild>
            <w:div w:id="966818552">
              <w:marLeft w:val="0"/>
              <w:marRight w:val="0"/>
              <w:marTop w:val="0"/>
              <w:marBottom w:val="0"/>
              <w:divBdr>
                <w:top w:val="none" w:sz="0" w:space="0" w:color="auto"/>
                <w:left w:val="none" w:sz="0" w:space="0" w:color="auto"/>
                <w:bottom w:val="none" w:sz="0" w:space="0" w:color="auto"/>
                <w:right w:val="none" w:sz="0" w:space="0" w:color="auto"/>
              </w:divBdr>
            </w:div>
          </w:divsChild>
        </w:div>
        <w:div w:id="1198935057">
          <w:marLeft w:val="0"/>
          <w:marRight w:val="0"/>
          <w:marTop w:val="0"/>
          <w:marBottom w:val="0"/>
          <w:divBdr>
            <w:top w:val="none" w:sz="0" w:space="0" w:color="auto"/>
            <w:left w:val="none" w:sz="0" w:space="0" w:color="auto"/>
            <w:bottom w:val="none" w:sz="0" w:space="0" w:color="auto"/>
            <w:right w:val="none" w:sz="0" w:space="0" w:color="auto"/>
          </w:divBdr>
          <w:divsChild>
            <w:div w:id="1613899320">
              <w:marLeft w:val="0"/>
              <w:marRight w:val="0"/>
              <w:marTop w:val="0"/>
              <w:marBottom w:val="0"/>
              <w:divBdr>
                <w:top w:val="none" w:sz="0" w:space="0" w:color="auto"/>
                <w:left w:val="none" w:sz="0" w:space="0" w:color="auto"/>
                <w:bottom w:val="none" w:sz="0" w:space="0" w:color="auto"/>
                <w:right w:val="none" w:sz="0" w:space="0" w:color="auto"/>
              </w:divBdr>
            </w:div>
          </w:divsChild>
        </w:div>
        <w:div w:id="729578660">
          <w:marLeft w:val="0"/>
          <w:marRight w:val="0"/>
          <w:marTop w:val="0"/>
          <w:marBottom w:val="0"/>
          <w:divBdr>
            <w:top w:val="none" w:sz="0" w:space="0" w:color="auto"/>
            <w:left w:val="none" w:sz="0" w:space="0" w:color="auto"/>
            <w:bottom w:val="none" w:sz="0" w:space="0" w:color="auto"/>
            <w:right w:val="none" w:sz="0" w:space="0" w:color="auto"/>
          </w:divBdr>
          <w:divsChild>
            <w:div w:id="1316760737">
              <w:marLeft w:val="0"/>
              <w:marRight w:val="0"/>
              <w:marTop w:val="0"/>
              <w:marBottom w:val="0"/>
              <w:divBdr>
                <w:top w:val="none" w:sz="0" w:space="0" w:color="auto"/>
                <w:left w:val="none" w:sz="0" w:space="0" w:color="auto"/>
                <w:bottom w:val="none" w:sz="0" w:space="0" w:color="auto"/>
                <w:right w:val="none" w:sz="0" w:space="0" w:color="auto"/>
              </w:divBdr>
            </w:div>
          </w:divsChild>
        </w:div>
        <w:div w:id="105854394">
          <w:marLeft w:val="0"/>
          <w:marRight w:val="0"/>
          <w:marTop w:val="0"/>
          <w:marBottom w:val="0"/>
          <w:divBdr>
            <w:top w:val="none" w:sz="0" w:space="0" w:color="auto"/>
            <w:left w:val="none" w:sz="0" w:space="0" w:color="auto"/>
            <w:bottom w:val="none" w:sz="0" w:space="0" w:color="auto"/>
            <w:right w:val="none" w:sz="0" w:space="0" w:color="auto"/>
          </w:divBdr>
          <w:divsChild>
            <w:div w:id="1537304386">
              <w:marLeft w:val="0"/>
              <w:marRight w:val="0"/>
              <w:marTop w:val="0"/>
              <w:marBottom w:val="0"/>
              <w:divBdr>
                <w:top w:val="none" w:sz="0" w:space="0" w:color="auto"/>
                <w:left w:val="none" w:sz="0" w:space="0" w:color="auto"/>
                <w:bottom w:val="none" w:sz="0" w:space="0" w:color="auto"/>
                <w:right w:val="none" w:sz="0" w:space="0" w:color="auto"/>
              </w:divBdr>
            </w:div>
          </w:divsChild>
        </w:div>
        <w:div w:id="248930974">
          <w:marLeft w:val="0"/>
          <w:marRight w:val="0"/>
          <w:marTop w:val="0"/>
          <w:marBottom w:val="0"/>
          <w:divBdr>
            <w:top w:val="none" w:sz="0" w:space="0" w:color="auto"/>
            <w:left w:val="none" w:sz="0" w:space="0" w:color="auto"/>
            <w:bottom w:val="none" w:sz="0" w:space="0" w:color="auto"/>
            <w:right w:val="none" w:sz="0" w:space="0" w:color="auto"/>
          </w:divBdr>
        </w:div>
        <w:div w:id="274606384">
          <w:marLeft w:val="0"/>
          <w:marRight w:val="0"/>
          <w:marTop w:val="0"/>
          <w:marBottom w:val="0"/>
          <w:divBdr>
            <w:top w:val="none" w:sz="0" w:space="0" w:color="auto"/>
            <w:left w:val="none" w:sz="0" w:space="0" w:color="auto"/>
            <w:bottom w:val="none" w:sz="0" w:space="0" w:color="auto"/>
            <w:right w:val="none" w:sz="0" w:space="0" w:color="auto"/>
          </w:divBdr>
          <w:divsChild>
            <w:div w:id="1878590662">
              <w:marLeft w:val="0"/>
              <w:marRight w:val="0"/>
              <w:marTop w:val="0"/>
              <w:marBottom w:val="0"/>
              <w:divBdr>
                <w:top w:val="none" w:sz="0" w:space="0" w:color="auto"/>
                <w:left w:val="none" w:sz="0" w:space="0" w:color="auto"/>
                <w:bottom w:val="none" w:sz="0" w:space="0" w:color="auto"/>
                <w:right w:val="none" w:sz="0" w:space="0" w:color="auto"/>
              </w:divBdr>
              <w:divsChild>
                <w:div w:id="1604074096">
                  <w:marLeft w:val="0"/>
                  <w:marRight w:val="0"/>
                  <w:marTop w:val="0"/>
                  <w:marBottom w:val="0"/>
                  <w:divBdr>
                    <w:top w:val="none" w:sz="0" w:space="0" w:color="auto"/>
                    <w:left w:val="none" w:sz="0" w:space="0" w:color="auto"/>
                    <w:bottom w:val="none" w:sz="0" w:space="0" w:color="auto"/>
                    <w:right w:val="none" w:sz="0" w:space="0" w:color="auto"/>
                  </w:divBdr>
                </w:div>
              </w:divsChild>
            </w:div>
            <w:div w:id="659845405">
              <w:marLeft w:val="0"/>
              <w:marRight w:val="0"/>
              <w:marTop w:val="0"/>
              <w:marBottom w:val="0"/>
              <w:divBdr>
                <w:top w:val="none" w:sz="0" w:space="0" w:color="auto"/>
                <w:left w:val="none" w:sz="0" w:space="0" w:color="auto"/>
                <w:bottom w:val="none" w:sz="0" w:space="0" w:color="auto"/>
                <w:right w:val="none" w:sz="0" w:space="0" w:color="auto"/>
              </w:divBdr>
              <w:divsChild>
                <w:div w:id="92237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71962">
          <w:marLeft w:val="0"/>
          <w:marRight w:val="0"/>
          <w:marTop w:val="0"/>
          <w:marBottom w:val="0"/>
          <w:divBdr>
            <w:top w:val="none" w:sz="0" w:space="0" w:color="auto"/>
            <w:left w:val="none" w:sz="0" w:space="0" w:color="auto"/>
            <w:bottom w:val="none" w:sz="0" w:space="0" w:color="auto"/>
            <w:right w:val="none" w:sz="0" w:space="0" w:color="auto"/>
          </w:divBdr>
          <w:divsChild>
            <w:div w:id="150409840">
              <w:marLeft w:val="0"/>
              <w:marRight w:val="0"/>
              <w:marTop w:val="0"/>
              <w:marBottom w:val="0"/>
              <w:divBdr>
                <w:top w:val="none" w:sz="0" w:space="0" w:color="auto"/>
                <w:left w:val="none" w:sz="0" w:space="0" w:color="auto"/>
                <w:bottom w:val="none" w:sz="0" w:space="0" w:color="auto"/>
                <w:right w:val="none" w:sz="0" w:space="0" w:color="auto"/>
              </w:divBdr>
              <w:divsChild>
                <w:div w:id="697044072">
                  <w:marLeft w:val="0"/>
                  <w:marRight w:val="0"/>
                  <w:marTop w:val="0"/>
                  <w:marBottom w:val="0"/>
                  <w:divBdr>
                    <w:top w:val="none" w:sz="0" w:space="0" w:color="auto"/>
                    <w:left w:val="none" w:sz="0" w:space="0" w:color="auto"/>
                    <w:bottom w:val="none" w:sz="0" w:space="0" w:color="auto"/>
                    <w:right w:val="none" w:sz="0" w:space="0" w:color="auto"/>
                  </w:divBdr>
                </w:div>
              </w:divsChild>
            </w:div>
            <w:div w:id="1419249789">
              <w:marLeft w:val="0"/>
              <w:marRight w:val="0"/>
              <w:marTop w:val="0"/>
              <w:marBottom w:val="0"/>
              <w:divBdr>
                <w:top w:val="none" w:sz="0" w:space="0" w:color="auto"/>
                <w:left w:val="none" w:sz="0" w:space="0" w:color="auto"/>
                <w:bottom w:val="none" w:sz="0" w:space="0" w:color="auto"/>
                <w:right w:val="none" w:sz="0" w:space="0" w:color="auto"/>
              </w:divBdr>
              <w:divsChild>
                <w:div w:id="1647205729">
                  <w:marLeft w:val="0"/>
                  <w:marRight w:val="0"/>
                  <w:marTop w:val="0"/>
                  <w:marBottom w:val="0"/>
                  <w:divBdr>
                    <w:top w:val="none" w:sz="0" w:space="0" w:color="auto"/>
                    <w:left w:val="none" w:sz="0" w:space="0" w:color="auto"/>
                    <w:bottom w:val="none" w:sz="0" w:space="0" w:color="auto"/>
                    <w:right w:val="none" w:sz="0" w:space="0" w:color="auto"/>
                  </w:divBdr>
                </w:div>
                <w:div w:id="210110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056166">
          <w:marLeft w:val="0"/>
          <w:marRight w:val="0"/>
          <w:marTop w:val="0"/>
          <w:marBottom w:val="0"/>
          <w:divBdr>
            <w:top w:val="none" w:sz="0" w:space="0" w:color="auto"/>
            <w:left w:val="none" w:sz="0" w:space="0" w:color="auto"/>
            <w:bottom w:val="none" w:sz="0" w:space="0" w:color="auto"/>
            <w:right w:val="none" w:sz="0" w:space="0" w:color="auto"/>
          </w:divBdr>
          <w:divsChild>
            <w:div w:id="277220042">
              <w:marLeft w:val="0"/>
              <w:marRight w:val="0"/>
              <w:marTop w:val="0"/>
              <w:marBottom w:val="0"/>
              <w:divBdr>
                <w:top w:val="none" w:sz="0" w:space="0" w:color="auto"/>
                <w:left w:val="none" w:sz="0" w:space="0" w:color="auto"/>
                <w:bottom w:val="none" w:sz="0" w:space="0" w:color="auto"/>
                <w:right w:val="none" w:sz="0" w:space="0" w:color="auto"/>
              </w:divBdr>
              <w:divsChild>
                <w:div w:id="1228879276">
                  <w:marLeft w:val="0"/>
                  <w:marRight w:val="0"/>
                  <w:marTop w:val="0"/>
                  <w:marBottom w:val="0"/>
                  <w:divBdr>
                    <w:top w:val="none" w:sz="0" w:space="0" w:color="auto"/>
                    <w:left w:val="none" w:sz="0" w:space="0" w:color="auto"/>
                    <w:bottom w:val="none" w:sz="0" w:space="0" w:color="auto"/>
                    <w:right w:val="none" w:sz="0" w:space="0" w:color="auto"/>
                  </w:divBdr>
                </w:div>
              </w:divsChild>
            </w:div>
            <w:div w:id="1275333763">
              <w:marLeft w:val="0"/>
              <w:marRight w:val="0"/>
              <w:marTop w:val="0"/>
              <w:marBottom w:val="0"/>
              <w:divBdr>
                <w:top w:val="none" w:sz="0" w:space="0" w:color="auto"/>
                <w:left w:val="none" w:sz="0" w:space="0" w:color="auto"/>
                <w:bottom w:val="none" w:sz="0" w:space="0" w:color="auto"/>
                <w:right w:val="none" w:sz="0" w:space="0" w:color="auto"/>
              </w:divBdr>
              <w:divsChild>
                <w:div w:id="214303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1711">
          <w:marLeft w:val="0"/>
          <w:marRight w:val="0"/>
          <w:marTop w:val="0"/>
          <w:marBottom w:val="0"/>
          <w:divBdr>
            <w:top w:val="none" w:sz="0" w:space="0" w:color="auto"/>
            <w:left w:val="none" w:sz="0" w:space="0" w:color="auto"/>
            <w:bottom w:val="none" w:sz="0" w:space="0" w:color="auto"/>
            <w:right w:val="none" w:sz="0" w:space="0" w:color="auto"/>
          </w:divBdr>
          <w:divsChild>
            <w:div w:id="49812909">
              <w:marLeft w:val="0"/>
              <w:marRight w:val="0"/>
              <w:marTop w:val="0"/>
              <w:marBottom w:val="0"/>
              <w:divBdr>
                <w:top w:val="none" w:sz="0" w:space="0" w:color="auto"/>
                <w:left w:val="none" w:sz="0" w:space="0" w:color="auto"/>
                <w:bottom w:val="none" w:sz="0" w:space="0" w:color="auto"/>
                <w:right w:val="none" w:sz="0" w:space="0" w:color="auto"/>
              </w:divBdr>
            </w:div>
            <w:div w:id="251479459">
              <w:marLeft w:val="0"/>
              <w:marRight w:val="0"/>
              <w:marTop w:val="0"/>
              <w:marBottom w:val="0"/>
              <w:divBdr>
                <w:top w:val="none" w:sz="0" w:space="0" w:color="auto"/>
                <w:left w:val="none" w:sz="0" w:space="0" w:color="auto"/>
                <w:bottom w:val="none" w:sz="0" w:space="0" w:color="auto"/>
                <w:right w:val="none" w:sz="0" w:space="0" w:color="auto"/>
              </w:divBdr>
            </w:div>
            <w:div w:id="623120629">
              <w:marLeft w:val="0"/>
              <w:marRight w:val="0"/>
              <w:marTop w:val="0"/>
              <w:marBottom w:val="0"/>
              <w:divBdr>
                <w:top w:val="none" w:sz="0" w:space="0" w:color="auto"/>
                <w:left w:val="none" w:sz="0" w:space="0" w:color="auto"/>
                <w:bottom w:val="none" w:sz="0" w:space="0" w:color="auto"/>
                <w:right w:val="none" w:sz="0" w:space="0" w:color="auto"/>
              </w:divBdr>
            </w:div>
            <w:div w:id="590704502">
              <w:marLeft w:val="0"/>
              <w:marRight w:val="0"/>
              <w:marTop w:val="0"/>
              <w:marBottom w:val="0"/>
              <w:divBdr>
                <w:top w:val="none" w:sz="0" w:space="0" w:color="auto"/>
                <w:left w:val="none" w:sz="0" w:space="0" w:color="auto"/>
                <w:bottom w:val="none" w:sz="0" w:space="0" w:color="auto"/>
                <w:right w:val="none" w:sz="0" w:space="0" w:color="auto"/>
              </w:divBdr>
            </w:div>
            <w:div w:id="538320097">
              <w:marLeft w:val="0"/>
              <w:marRight w:val="0"/>
              <w:marTop w:val="0"/>
              <w:marBottom w:val="0"/>
              <w:divBdr>
                <w:top w:val="none" w:sz="0" w:space="0" w:color="auto"/>
                <w:left w:val="none" w:sz="0" w:space="0" w:color="auto"/>
                <w:bottom w:val="none" w:sz="0" w:space="0" w:color="auto"/>
                <w:right w:val="none" w:sz="0" w:space="0" w:color="auto"/>
              </w:divBdr>
            </w:div>
          </w:divsChild>
        </w:div>
        <w:div w:id="413665662">
          <w:marLeft w:val="0"/>
          <w:marRight w:val="0"/>
          <w:marTop w:val="0"/>
          <w:marBottom w:val="0"/>
          <w:divBdr>
            <w:top w:val="none" w:sz="0" w:space="0" w:color="auto"/>
            <w:left w:val="none" w:sz="0" w:space="0" w:color="auto"/>
            <w:bottom w:val="none" w:sz="0" w:space="0" w:color="auto"/>
            <w:right w:val="none" w:sz="0" w:space="0" w:color="auto"/>
          </w:divBdr>
          <w:divsChild>
            <w:div w:id="864754824">
              <w:marLeft w:val="0"/>
              <w:marRight w:val="0"/>
              <w:marTop w:val="0"/>
              <w:marBottom w:val="0"/>
              <w:divBdr>
                <w:top w:val="none" w:sz="0" w:space="0" w:color="auto"/>
                <w:left w:val="none" w:sz="0" w:space="0" w:color="auto"/>
                <w:bottom w:val="none" w:sz="0" w:space="0" w:color="auto"/>
                <w:right w:val="none" w:sz="0" w:space="0" w:color="auto"/>
              </w:divBdr>
            </w:div>
          </w:divsChild>
        </w:div>
        <w:div w:id="550460506">
          <w:marLeft w:val="0"/>
          <w:marRight w:val="0"/>
          <w:marTop w:val="0"/>
          <w:marBottom w:val="0"/>
          <w:divBdr>
            <w:top w:val="none" w:sz="0" w:space="0" w:color="auto"/>
            <w:left w:val="none" w:sz="0" w:space="0" w:color="auto"/>
            <w:bottom w:val="none" w:sz="0" w:space="0" w:color="auto"/>
            <w:right w:val="none" w:sz="0" w:space="0" w:color="auto"/>
          </w:divBdr>
          <w:divsChild>
            <w:div w:id="1082142694">
              <w:marLeft w:val="0"/>
              <w:marRight w:val="0"/>
              <w:marTop w:val="0"/>
              <w:marBottom w:val="0"/>
              <w:divBdr>
                <w:top w:val="none" w:sz="0" w:space="0" w:color="auto"/>
                <w:left w:val="none" w:sz="0" w:space="0" w:color="auto"/>
                <w:bottom w:val="none" w:sz="0" w:space="0" w:color="auto"/>
                <w:right w:val="none" w:sz="0" w:space="0" w:color="auto"/>
              </w:divBdr>
            </w:div>
          </w:divsChild>
        </w:div>
        <w:div w:id="1773624903">
          <w:marLeft w:val="0"/>
          <w:marRight w:val="0"/>
          <w:marTop w:val="0"/>
          <w:marBottom w:val="0"/>
          <w:divBdr>
            <w:top w:val="none" w:sz="0" w:space="0" w:color="auto"/>
            <w:left w:val="none" w:sz="0" w:space="0" w:color="auto"/>
            <w:bottom w:val="none" w:sz="0" w:space="0" w:color="auto"/>
            <w:right w:val="none" w:sz="0" w:space="0" w:color="auto"/>
          </w:divBdr>
          <w:divsChild>
            <w:div w:id="381906080">
              <w:marLeft w:val="0"/>
              <w:marRight w:val="0"/>
              <w:marTop w:val="0"/>
              <w:marBottom w:val="0"/>
              <w:divBdr>
                <w:top w:val="none" w:sz="0" w:space="0" w:color="auto"/>
                <w:left w:val="none" w:sz="0" w:space="0" w:color="auto"/>
                <w:bottom w:val="none" w:sz="0" w:space="0" w:color="auto"/>
                <w:right w:val="none" w:sz="0" w:space="0" w:color="auto"/>
              </w:divBdr>
            </w:div>
          </w:divsChild>
        </w:div>
        <w:div w:id="1242526041">
          <w:marLeft w:val="0"/>
          <w:marRight w:val="0"/>
          <w:marTop w:val="0"/>
          <w:marBottom w:val="0"/>
          <w:divBdr>
            <w:top w:val="none" w:sz="0" w:space="0" w:color="auto"/>
            <w:left w:val="none" w:sz="0" w:space="0" w:color="auto"/>
            <w:bottom w:val="none" w:sz="0" w:space="0" w:color="auto"/>
            <w:right w:val="none" w:sz="0" w:space="0" w:color="auto"/>
          </w:divBdr>
          <w:divsChild>
            <w:div w:id="1561289543">
              <w:marLeft w:val="0"/>
              <w:marRight w:val="0"/>
              <w:marTop w:val="0"/>
              <w:marBottom w:val="0"/>
              <w:divBdr>
                <w:top w:val="none" w:sz="0" w:space="0" w:color="auto"/>
                <w:left w:val="none" w:sz="0" w:space="0" w:color="auto"/>
                <w:bottom w:val="none" w:sz="0" w:space="0" w:color="auto"/>
                <w:right w:val="none" w:sz="0" w:space="0" w:color="auto"/>
              </w:divBdr>
            </w:div>
          </w:divsChild>
        </w:div>
        <w:div w:id="1255284709">
          <w:marLeft w:val="0"/>
          <w:marRight w:val="0"/>
          <w:marTop w:val="0"/>
          <w:marBottom w:val="0"/>
          <w:divBdr>
            <w:top w:val="none" w:sz="0" w:space="0" w:color="auto"/>
            <w:left w:val="none" w:sz="0" w:space="0" w:color="auto"/>
            <w:bottom w:val="none" w:sz="0" w:space="0" w:color="auto"/>
            <w:right w:val="none" w:sz="0" w:space="0" w:color="auto"/>
          </w:divBdr>
          <w:divsChild>
            <w:div w:id="509835975">
              <w:marLeft w:val="0"/>
              <w:marRight w:val="0"/>
              <w:marTop w:val="0"/>
              <w:marBottom w:val="0"/>
              <w:divBdr>
                <w:top w:val="none" w:sz="0" w:space="0" w:color="auto"/>
                <w:left w:val="none" w:sz="0" w:space="0" w:color="auto"/>
                <w:bottom w:val="none" w:sz="0" w:space="0" w:color="auto"/>
                <w:right w:val="none" w:sz="0" w:space="0" w:color="auto"/>
              </w:divBdr>
            </w:div>
          </w:divsChild>
        </w:div>
        <w:div w:id="177275962">
          <w:marLeft w:val="0"/>
          <w:marRight w:val="0"/>
          <w:marTop w:val="0"/>
          <w:marBottom w:val="0"/>
          <w:divBdr>
            <w:top w:val="none" w:sz="0" w:space="0" w:color="auto"/>
            <w:left w:val="none" w:sz="0" w:space="0" w:color="auto"/>
            <w:bottom w:val="none" w:sz="0" w:space="0" w:color="auto"/>
            <w:right w:val="none" w:sz="0" w:space="0" w:color="auto"/>
          </w:divBdr>
        </w:div>
        <w:div w:id="292297063">
          <w:marLeft w:val="0"/>
          <w:marRight w:val="0"/>
          <w:marTop w:val="0"/>
          <w:marBottom w:val="0"/>
          <w:divBdr>
            <w:top w:val="none" w:sz="0" w:space="0" w:color="auto"/>
            <w:left w:val="none" w:sz="0" w:space="0" w:color="auto"/>
            <w:bottom w:val="none" w:sz="0" w:space="0" w:color="auto"/>
            <w:right w:val="none" w:sz="0" w:space="0" w:color="auto"/>
          </w:divBdr>
          <w:divsChild>
            <w:div w:id="1621255576">
              <w:marLeft w:val="0"/>
              <w:marRight w:val="0"/>
              <w:marTop w:val="0"/>
              <w:marBottom w:val="0"/>
              <w:divBdr>
                <w:top w:val="none" w:sz="0" w:space="0" w:color="auto"/>
                <w:left w:val="none" w:sz="0" w:space="0" w:color="auto"/>
                <w:bottom w:val="none" w:sz="0" w:space="0" w:color="auto"/>
                <w:right w:val="none" w:sz="0" w:space="0" w:color="auto"/>
              </w:divBdr>
              <w:divsChild>
                <w:div w:id="611477470">
                  <w:marLeft w:val="0"/>
                  <w:marRight w:val="0"/>
                  <w:marTop w:val="0"/>
                  <w:marBottom w:val="0"/>
                  <w:divBdr>
                    <w:top w:val="none" w:sz="0" w:space="0" w:color="auto"/>
                    <w:left w:val="none" w:sz="0" w:space="0" w:color="auto"/>
                    <w:bottom w:val="none" w:sz="0" w:space="0" w:color="auto"/>
                    <w:right w:val="none" w:sz="0" w:space="0" w:color="auto"/>
                  </w:divBdr>
                </w:div>
              </w:divsChild>
            </w:div>
            <w:div w:id="341661549">
              <w:marLeft w:val="0"/>
              <w:marRight w:val="0"/>
              <w:marTop w:val="0"/>
              <w:marBottom w:val="0"/>
              <w:divBdr>
                <w:top w:val="none" w:sz="0" w:space="0" w:color="auto"/>
                <w:left w:val="none" w:sz="0" w:space="0" w:color="auto"/>
                <w:bottom w:val="none" w:sz="0" w:space="0" w:color="auto"/>
                <w:right w:val="none" w:sz="0" w:space="0" w:color="auto"/>
              </w:divBdr>
              <w:divsChild>
                <w:div w:id="431630509">
                  <w:marLeft w:val="0"/>
                  <w:marRight w:val="0"/>
                  <w:marTop w:val="0"/>
                  <w:marBottom w:val="0"/>
                  <w:divBdr>
                    <w:top w:val="none" w:sz="0" w:space="0" w:color="auto"/>
                    <w:left w:val="none" w:sz="0" w:space="0" w:color="auto"/>
                    <w:bottom w:val="none" w:sz="0" w:space="0" w:color="auto"/>
                    <w:right w:val="none" w:sz="0" w:space="0" w:color="auto"/>
                  </w:divBdr>
                </w:div>
                <w:div w:id="13179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59617">
          <w:marLeft w:val="0"/>
          <w:marRight w:val="0"/>
          <w:marTop w:val="0"/>
          <w:marBottom w:val="0"/>
          <w:divBdr>
            <w:top w:val="none" w:sz="0" w:space="0" w:color="auto"/>
            <w:left w:val="none" w:sz="0" w:space="0" w:color="auto"/>
            <w:bottom w:val="none" w:sz="0" w:space="0" w:color="auto"/>
            <w:right w:val="none" w:sz="0" w:space="0" w:color="auto"/>
          </w:divBdr>
          <w:divsChild>
            <w:div w:id="635766953">
              <w:marLeft w:val="0"/>
              <w:marRight w:val="0"/>
              <w:marTop w:val="0"/>
              <w:marBottom w:val="0"/>
              <w:divBdr>
                <w:top w:val="none" w:sz="0" w:space="0" w:color="auto"/>
                <w:left w:val="none" w:sz="0" w:space="0" w:color="auto"/>
                <w:bottom w:val="none" w:sz="0" w:space="0" w:color="auto"/>
                <w:right w:val="none" w:sz="0" w:space="0" w:color="auto"/>
              </w:divBdr>
            </w:div>
          </w:divsChild>
        </w:div>
        <w:div w:id="873345745">
          <w:marLeft w:val="0"/>
          <w:marRight w:val="0"/>
          <w:marTop w:val="0"/>
          <w:marBottom w:val="0"/>
          <w:divBdr>
            <w:top w:val="none" w:sz="0" w:space="0" w:color="auto"/>
            <w:left w:val="none" w:sz="0" w:space="0" w:color="auto"/>
            <w:bottom w:val="none" w:sz="0" w:space="0" w:color="auto"/>
            <w:right w:val="none" w:sz="0" w:space="0" w:color="auto"/>
          </w:divBdr>
          <w:divsChild>
            <w:div w:id="413745561">
              <w:marLeft w:val="0"/>
              <w:marRight w:val="0"/>
              <w:marTop w:val="0"/>
              <w:marBottom w:val="0"/>
              <w:divBdr>
                <w:top w:val="none" w:sz="0" w:space="0" w:color="auto"/>
                <w:left w:val="none" w:sz="0" w:space="0" w:color="auto"/>
                <w:bottom w:val="none" w:sz="0" w:space="0" w:color="auto"/>
                <w:right w:val="none" w:sz="0" w:space="0" w:color="auto"/>
              </w:divBdr>
            </w:div>
          </w:divsChild>
        </w:div>
        <w:div w:id="973372338">
          <w:marLeft w:val="0"/>
          <w:marRight w:val="0"/>
          <w:marTop w:val="0"/>
          <w:marBottom w:val="0"/>
          <w:divBdr>
            <w:top w:val="none" w:sz="0" w:space="0" w:color="auto"/>
            <w:left w:val="none" w:sz="0" w:space="0" w:color="auto"/>
            <w:bottom w:val="none" w:sz="0" w:space="0" w:color="auto"/>
            <w:right w:val="none" w:sz="0" w:space="0" w:color="auto"/>
          </w:divBdr>
          <w:divsChild>
            <w:div w:id="570695553">
              <w:marLeft w:val="0"/>
              <w:marRight w:val="0"/>
              <w:marTop w:val="0"/>
              <w:marBottom w:val="0"/>
              <w:divBdr>
                <w:top w:val="none" w:sz="0" w:space="0" w:color="auto"/>
                <w:left w:val="none" w:sz="0" w:space="0" w:color="auto"/>
                <w:bottom w:val="none" w:sz="0" w:space="0" w:color="auto"/>
                <w:right w:val="none" w:sz="0" w:space="0" w:color="auto"/>
              </w:divBdr>
            </w:div>
          </w:divsChild>
        </w:div>
        <w:div w:id="1594438860">
          <w:marLeft w:val="0"/>
          <w:marRight w:val="0"/>
          <w:marTop w:val="0"/>
          <w:marBottom w:val="0"/>
          <w:divBdr>
            <w:top w:val="none" w:sz="0" w:space="0" w:color="auto"/>
            <w:left w:val="none" w:sz="0" w:space="0" w:color="auto"/>
            <w:bottom w:val="none" w:sz="0" w:space="0" w:color="auto"/>
            <w:right w:val="none" w:sz="0" w:space="0" w:color="auto"/>
          </w:divBdr>
          <w:divsChild>
            <w:div w:id="2062560735">
              <w:marLeft w:val="0"/>
              <w:marRight w:val="0"/>
              <w:marTop w:val="0"/>
              <w:marBottom w:val="0"/>
              <w:divBdr>
                <w:top w:val="none" w:sz="0" w:space="0" w:color="auto"/>
                <w:left w:val="none" w:sz="0" w:space="0" w:color="auto"/>
                <w:bottom w:val="none" w:sz="0" w:space="0" w:color="auto"/>
                <w:right w:val="none" w:sz="0" w:space="0" w:color="auto"/>
              </w:divBdr>
            </w:div>
          </w:divsChild>
        </w:div>
        <w:div w:id="551309070">
          <w:marLeft w:val="0"/>
          <w:marRight w:val="0"/>
          <w:marTop w:val="0"/>
          <w:marBottom w:val="0"/>
          <w:divBdr>
            <w:top w:val="none" w:sz="0" w:space="0" w:color="auto"/>
            <w:left w:val="none" w:sz="0" w:space="0" w:color="auto"/>
            <w:bottom w:val="none" w:sz="0" w:space="0" w:color="auto"/>
            <w:right w:val="none" w:sz="0" w:space="0" w:color="auto"/>
          </w:divBdr>
          <w:divsChild>
            <w:div w:id="20678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5641">
      <w:bodyDiv w:val="1"/>
      <w:marLeft w:val="0"/>
      <w:marRight w:val="0"/>
      <w:marTop w:val="0"/>
      <w:marBottom w:val="0"/>
      <w:divBdr>
        <w:top w:val="none" w:sz="0" w:space="0" w:color="auto"/>
        <w:left w:val="none" w:sz="0" w:space="0" w:color="auto"/>
        <w:bottom w:val="none" w:sz="0" w:space="0" w:color="auto"/>
        <w:right w:val="none" w:sz="0" w:space="0" w:color="auto"/>
      </w:divBdr>
      <w:divsChild>
        <w:div w:id="2122918928">
          <w:marLeft w:val="0"/>
          <w:marRight w:val="0"/>
          <w:marTop w:val="0"/>
          <w:marBottom w:val="0"/>
          <w:divBdr>
            <w:top w:val="none" w:sz="0" w:space="0" w:color="auto"/>
            <w:left w:val="none" w:sz="0" w:space="0" w:color="auto"/>
            <w:bottom w:val="none" w:sz="0" w:space="0" w:color="auto"/>
            <w:right w:val="none" w:sz="0" w:space="0" w:color="auto"/>
          </w:divBdr>
          <w:divsChild>
            <w:div w:id="863057663">
              <w:marLeft w:val="0"/>
              <w:marRight w:val="0"/>
              <w:marTop w:val="0"/>
              <w:marBottom w:val="0"/>
              <w:divBdr>
                <w:top w:val="none" w:sz="0" w:space="0" w:color="auto"/>
                <w:left w:val="none" w:sz="0" w:space="0" w:color="auto"/>
                <w:bottom w:val="none" w:sz="0" w:space="0" w:color="auto"/>
                <w:right w:val="none" w:sz="0" w:space="0" w:color="auto"/>
              </w:divBdr>
              <w:divsChild>
                <w:div w:id="838082570">
                  <w:marLeft w:val="0"/>
                  <w:marRight w:val="0"/>
                  <w:marTop w:val="0"/>
                  <w:marBottom w:val="0"/>
                  <w:divBdr>
                    <w:top w:val="none" w:sz="0" w:space="0" w:color="auto"/>
                    <w:left w:val="none" w:sz="0" w:space="0" w:color="auto"/>
                    <w:bottom w:val="none" w:sz="0" w:space="0" w:color="auto"/>
                    <w:right w:val="none" w:sz="0" w:space="0" w:color="auto"/>
                  </w:divBdr>
                </w:div>
              </w:divsChild>
            </w:div>
            <w:div w:id="826480555">
              <w:marLeft w:val="0"/>
              <w:marRight w:val="0"/>
              <w:marTop w:val="0"/>
              <w:marBottom w:val="0"/>
              <w:divBdr>
                <w:top w:val="none" w:sz="0" w:space="0" w:color="auto"/>
                <w:left w:val="none" w:sz="0" w:space="0" w:color="auto"/>
                <w:bottom w:val="none" w:sz="0" w:space="0" w:color="auto"/>
                <w:right w:val="none" w:sz="0" w:space="0" w:color="auto"/>
              </w:divBdr>
              <w:divsChild>
                <w:div w:id="15701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8694">
          <w:marLeft w:val="0"/>
          <w:marRight w:val="0"/>
          <w:marTop w:val="0"/>
          <w:marBottom w:val="0"/>
          <w:divBdr>
            <w:top w:val="none" w:sz="0" w:space="0" w:color="auto"/>
            <w:left w:val="none" w:sz="0" w:space="0" w:color="auto"/>
            <w:bottom w:val="none" w:sz="0" w:space="0" w:color="auto"/>
            <w:right w:val="none" w:sz="0" w:space="0" w:color="auto"/>
          </w:divBdr>
          <w:divsChild>
            <w:div w:id="1552762667">
              <w:marLeft w:val="0"/>
              <w:marRight w:val="0"/>
              <w:marTop w:val="0"/>
              <w:marBottom w:val="0"/>
              <w:divBdr>
                <w:top w:val="none" w:sz="0" w:space="0" w:color="auto"/>
                <w:left w:val="none" w:sz="0" w:space="0" w:color="auto"/>
                <w:bottom w:val="none" w:sz="0" w:space="0" w:color="auto"/>
                <w:right w:val="none" w:sz="0" w:space="0" w:color="auto"/>
              </w:divBdr>
              <w:divsChild>
                <w:div w:id="1747456504">
                  <w:marLeft w:val="0"/>
                  <w:marRight w:val="0"/>
                  <w:marTop w:val="0"/>
                  <w:marBottom w:val="0"/>
                  <w:divBdr>
                    <w:top w:val="none" w:sz="0" w:space="0" w:color="auto"/>
                    <w:left w:val="none" w:sz="0" w:space="0" w:color="auto"/>
                    <w:bottom w:val="none" w:sz="0" w:space="0" w:color="auto"/>
                    <w:right w:val="none" w:sz="0" w:space="0" w:color="auto"/>
                  </w:divBdr>
                </w:div>
              </w:divsChild>
            </w:div>
            <w:div w:id="62610257">
              <w:marLeft w:val="0"/>
              <w:marRight w:val="0"/>
              <w:marTop w:val="0"/>
              <w:marBottom w:val="0"/>
              <w:divBdr>
                <w:top w:val="none" w:sz="0" w:space="0" w:color="auto"/>
                <w:left w:val="none" w:sz="0" w:space="0" w:color="auto"/>
                <w:bottom w:val="none" w:sz="0" w:space="0" w:color="auto"/>
                <w:right w:val="none" w:sz="0" w:space="0" w:color="auto"/>
              </w:divBdr>
              <w:divsChild>
                <w:div w:id="1326084927">
                  <w:marLeft w:val="0"/>
                  <w:marRight w:val="0"/>
                  <w:marTop w:val="0"/>
                  <w:marBottom w:val="0"/>
                  <w:divBdr>
                    <w:top w:val="none" w:sz="0" w:space="0" w:color="auto"/>
                    <w:left w:val="none" w:sz="0" w:space="0" w:color="auto"/>
                    <w:bottom w:val="none" w:sz="0" w:space="0" w:color="auto"/>
                    <w:right w:val="none" w:sz="0" w:space="0" w:color="auto"/>
                  </w:divBdr>
                </w:div>
                <w:div w:id="163113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067811">
      <w:bodyDiv w:val="1"/>
      <w:marLeft w:val="0"/>
      <w:marRight w:val="0"/>
      <w:marTop w:val="0"/>
      <w:marBottom w:val="0"/>
      <w:divBdr>
        <w:top w:val="none" w:sz="0" w:space="0" w:color="auto"/>
        <w:left w:val="none" w:sz="0" w:space="0" w:color="auto"/>
        <w:bottom w:val="none" w:sz="0" w:space="0" w:color="auto"/>
        <w:right w:val="none" w:sz="0" w:space="0" w:color="auto"/>
      </w:divBdr>
      <w:divsChild>
        <w:div w:id="572396547">
          <w:marLeft w:val="0"/>
          <w:marRight w:val="0"/>
          <w:marTop w:val="0"/>
          <w:marBottom w:val="0"/>
          <w:divBdr>
            <w:top w:val="none" w:sz="0" w:space="0" w:color="auto"/>
            <w:left w:val="none" w:sz="0" w:space="0" w:color="auto"/>
            <w:bottom w:val="none" w:sz="0" w:space="0" w:color="auto"/>
            <w:right w:val="none" w:sz="0" w:space="0" w:color="auto"/>
          </w:divBdr>
          <w:divsChild>
            <w:div w:id="203444624">
              <w:marLeft w:val="0"/>
              <w:marRight w:val="0"/>
              <w:marTop w:val="0"/>
              <w:marBottom w:val="0"/>
              <w:divBdr>
                <w:top w:val="none" w:sz="0" w:space="0" w:color="auto"/>
                <w:left w:val="none" w:sz="0" w:space="0" w:color="auto"/>
                <w:bottom w:val="none" w:sz="0" w:space="0" w:color="auto"/>
                <w:right w:val="none" w:sz="0" w:space="0" w:color="auto"/>
              </w:divBdr>
            </w:div>
          </w:divsChild>
        </w:div>
        <w:div w:id="880631239">
          <w:marLeft w:val="0"/>
          <w:marRight w:val="0"/>
          <w:marTop w:val="0"/>
          <w:marBottom w:val="0"/>
          <w:divBdr>
            <w:top w:val="none" w:sz="0" w:space="0" w:color="auto"/>
            <w:left w:val="none" w:sz="0" w:space="0" w:color="auto"/>
            <w:bottom w:val="none" w:sz="0" w:space="0" w:color="auto"/>
            <w:right w:val="none" w:sz="0" w:space="0" w:color="auto"/>
          </w:divBdr>
          <w:divsChild>
            <w:div w:id="1155534847">
              <w:marLeft w:val="0"/>
              <w:marRight w:val="0"/>
              <w:marTop w:val="0"/>
              <w:marBottom w:val="0"/>
              <w:divBdr>
                <w:top w:val="none" w:sz="0" w:space="0" w:color="auto"/>
                <w:left w:val="none" w:sz="0" w:space="0" w:color="auto"/>
                <w:bottom w:val="none" w:sz="0" w:space="0" w:color="auto"/>
                <w:right w:val="none" w:sz="0" w:space="0" w:color="auto"/>
              </w:divBdr>
            </w:div>
          </w:divsChild>
        </w:div>
        <w:div w:id="236016656">
          <w:marLeft w:val="0"/>
          <w:marRight w:val="0"/>
          <w:marTop w:val="0"/>
          <w:marBottom w:val="0"/>
          <w:divBdr>
            <w:top w:val="none" w:sz="0" w:space="0" w:color="auto"/>
            <w:left w:val="none" w:sz="0" w:space="0" w:color="auto"/>
            <w:bottom w:val="none" w:sz="0" w:space="0" w:color="auto"/>
            <w:right w:val="none" w:sz="0" w:space="0" w:color="auto"/>
          </w:divBdr>
          <w:divsChild>
            <w:div w:id="977033579">
              <w:marLeft w:val="0"/>
              <w:marRight w:val="0"/>
              <w:marTop w:val="0"/>
              <w:marBottom w:val="0"/>
              <w:divBdr>
                <w:top w:val="none" w:sz="0" w:space="0" w:color="auto"/>
                <w:left w:val="none" w:sz="0" w:space="0" w:color="auto"/>
                <w:bottom w:val="none" w:sz="0" w:space="0" w:color="auto"/>
                <w:right w:val="none" w:sz="0" w:space="0" w:color="auto"/>
              </w:divBdr>
            </w:div>
          </w:divsChild>
        </w:div>
        <w:div w:id="1247347114">
          <w:marLeft w:val="0"/>
          <w:marRight w:val="0"/>
          <w:marTop w:val="0"/>
          <w:marBottom w:val="0"/>
          <w:divBdr>
            <w:top w:val="none" w:sz="0" w:space="0" w:color="auto"/>
            <w:left w:val="none" w:sz="0" w:space="0" w:color="auto"/>
            <w:bottom w:val="none" w:sz="0" w:space="0" w:color="auto"/>
            <w:right w:val="none" w:sz="0" w:space="0" w:color="auto"/>
          </w:divBdr>
          <w:divsChild>
            <w:div w:id="498497199">
              <w:marLeft w:val="0"/>
              <w:marRight w:val="0"/>
              <w:marTop w:val="0"/>
              <w:marBottom w:val="0"/>
              <w:divBdr>
                <w:top w:val="none" w:sz="0" w:space="0" w:color="auto"/>
                <w:left w:val="none" w:sz="0" w:space="0" w:color="auto"/>
                <w:bottom w:val="none" w:sz="0" w:space="0" w:color="auto"/>
                <w:right w:val="none" w:sz="0" w:space="0" w:color="auto"/>
              </w:divBdr>
            </w:div>
          </w:divsChild>
        </w:div>
        <w:div w:id="537860668">
          <w:marLeft w:val="0"/>
          <w:marRight w:val="0"/>
          <w:marTop w:val="0"/>
          <w:marBottom w:val="0"/>
          <w:divBdr>
            <w:top w:val="none" w:sz="0" w:space="0" w:color="auto"/>
            <w:left w:val="none" w:sz="0" w:space="0" w:color="auto"/>
            <w:bottom w:val="none" w:sz="0" w:space="0" w:color="auto"/>
            <w:right w:val="none" w:sz="0" w:space="0" w:color="auto"/>
          </w:divBdr>
          <w:divsChild>
            <w:div w:id="1868179790">
              <w:marLeft w:val="0"/>
              <w:marRight w:val="0"/>
              <w:marTop w:val="0"/>
              <w:marBottom w:val="0"/>
              <w:divBdr>
                <w:top w:val="none" w:sz="0" w:space="0" w:color="auto"/>
                <w:left w:val="none" w:sz="0" w:space="0" w:color="auto"/>
                <w:bottom w:val="none" w:sz="0" w:space="0" w:color="auto"/>
                <w:right w:val="none" w:sz="0" w:space="0" w:color="auto"/>
              </w:divBdr>
            </w:div>
          </w:divsChild>
        </w:div>
        <w:div w:id="2143450935">
          <w:marLeft w:val="0"/>
          <w:marRight w:val="0"/>
          <w:marTop w:val="0"/>
          <w:marBottom w:val="0"/>
          <w:divBdr>
            <w:top w:val="none" w:sz="0" w:space="0" w:color="auto"/>
            <w:left w:val="none" w:sz="0" w:space="0" w:color="auto"/>
            <w:bottom w:val="none" w:sz="0" w:space="0" w:color="auto"/>
            <w:right w:val="none" w:sz="0" w:space="0" w:color="auto"/>
          </w:divBdr>
          <w:divsChild>
            <w:div w:id="2069111240">
              <w:marLeft w:val="0"/>
              <w:marRight w:val="0"/>
              <w:marTop w:val="0"/>
              <w:marBottom w:val="0"/>
              <w:divBdr>
                <w:top w:val="none" w:sz="0" w:space="0" w:color="auto"/>
                <w:left w:val="none" w:sz="0" w:space="0" w:color="auto"/>
                <w:bottom w:val="none" w:sz="0" w:space="0" w:color="auto"/>
                <w:right w:val="none" w:sz="0" w:space="0" w:color="auto"/>
              </w:divBdr>
            </w:div>
          </w:divsChild>
        </w:div>
        <w:div w:id="1074083656">
          <w:marLeft w:val="0"/>
          <w:marRight w:val="0"/>
          <w:marTop w:val="0"/>
          <w:marBottom w:val="0"/>
          <w:divBdr>
            <w:top w:val="none" w:sz="0" w:space="0" w:color="auto"/>
            <w:left w:val="none" w:sz="0" w:space="0" w:color="auto"/>
            <w:bottom w:val="none" w:sz="0" w:space="0" w:color="auto"/>
            <w:right w:val="none" w:sz="0" w:space="0" w:color="auto"/>
          </w:divBdr>
          <w:divsChild>
            <w:div w:id="475030787">
              <w:marLeft w:val="0"/>
              <w:marRight w:val="0"/>
              <w:marTop w:val="0"/>
              <w:marBottom w:val="0"/>
              <w:divBdr>
                <w:top w:val="none" w:sz="0" w:space="0" w:color="auto"/>
                <w:left w:val="none" w:sz="0" w:space="0" w:color="auto"/>
                <w:bottom w:val="none" w:sz="0" w:space="0" w:color="auto"/>
                <w:right w:val="none" w:sz="0" w:space="0" w:color="auto"/>
              </w:divBdr>
            </w:div>
          </w:divsChild>
        </w:div>
        <w:div w:id="21055660">
          <w:marLeft w:val="0"/>
          <w:marRight w:val="0"/>
          <w:marTop w:val="0"/>
          <w:marBottom w:val="0"/>
          <w:divBdr>
            <w:top w:val="none" w:sz="0" w:space="0" w:color="auto"/>
            <w:left w:val="none" w:sz="0" w:space="0" w:color="auto"/>
            <w:bottom w:val="none" w:sz="0" w:space="0" w:color="auto"/>
            <w:right w:val="none" w:sz="0" w:space="0" w:color="auto"/>
          </w:divBdr>
          <w:divsChild>
            <w:div w:id="1685135993">
              <w:marLeft w:val="0"/>
              <w:marRight w:val="0"/>
              <w:marTop w:val="0"/>
              <w:marBottom w:val="0"/>
              <w:divBdr>
                <w:top w:val="none" w:sz="0" w:space="0" w:color="auto"/>
                <w:left w:val="none" w:sz="0" w:space="0" w:color="auto"/>
                <w:bottom w:val="none" w:sz="0" w:space="0" w:color="auto"/>
                <w:right w:val="none" w:sz="0" w:space="0" w:color="auto"/>
              </w:divBdr>
            </w:div>
          </w:divsChild>
        </w:div>
        <w:div w:id="279730920">
          <w:marLeft w:val="0"/>
          <w:marRight w:val="0"/>
          <w:marTop w:val="0"/>
          <w:marBottom w:val="0"/>
          <w:divBdr>
            <w:top w:val="none" w:sz="0" w:space="0" w:color="auto"/>
            <w:left w:val="none" w:sz="0" w:space="0" w:color="auto"/>
            <w:bottom w:val="none" w:sz="0" w:space="0" w:color="auto"/>
            <w:right w:val="none" w:sz="0" w:space="0" w:color="auto"/>
          </w:divBdr>
          <w:divsChild>
            <w:div w:id="449904947">
              <w:marLeft w:val="0"/>
              <w:marRight w:val="0"/>
              <w:marTop w:val="0"/>
              <w:marBottom w:val="0"/>
              <w:divBdr>
                <w:top w:val="none" w:sz="0" w:space="0" w:color="auto"/>
                <w:left w:val="none" w:sz="0" w:space="0" w:color="auto"/>
                <w:bottom w:val="none" w:sz="0" w:space="0" w:color="auto"/>
                <w:right w:val="none" w:sz="0" w:space="0" w:color="auto"/>
              </w:divBdr>
            </w:div>
          </w:divsChild>
        </w:div>
        <w:div w:id="2103909364">
          <w:marLeft w:val="0"/>
          <w:marRight w:val="0"/>
          <w:marTop w:val="0"/>
          <w:marBottom w:val="0"/>
          <w:divBdr>
            <w:top w:val="none" w:sz="0" w:space="0" w:color="auto"/>
            <w:left w:val="none" w:sz="0" w:space="0" w:color="auto"/>
            <w:bottom w:val="none" w:sz="0" w:space="0" w:color="auto"/>
            <w:right w:val="none" w:sz="0" w:space="0" w:color="auto"/>
          </w:divBdr>
          <w:divsChild>
            <w:div w:id="335766237">
              <w:marLeft w:val="0"/>
              <w:marRight w:val="0"/>
              <w:marTop w:val="0"/>
              <w:marBottom w:val="0"/>
              <w:divBdr>
                <w:top w:val="none" w:sz="0" w:space="0" w:color="auto"/>
                <w:left w:val="none" w:sz="0" w:space="0" w:color="auto"/>
                <w:bottom w:val="none" w:sz="0" w:space="0" w:color="auto"/>
                <w:right w:val="none" w:sz="0" w:space="0" w:color="auto"/>
              </w:divBdr>
              <w:divsChild>
                <w:div w:id="345639617">
                  <w:marLeft w:val="0"/>
                  <w:marRight w:val="0"/>
                  <w:marTop w:val="0"/>
                  <w:marBottom w:val="0"/>
                  <w:divBdr>
                    <w:top w:val="none" w:sz="0" w:space="0" w:color="auto"/>
                    <w:left w:val="none" w:sz="0" w:space="0" w:color="auto"/>
                    <w:bottom w:val="none" w:sz="0" w:space="0" w:color="auto"/>
                    <w:right w:val="none" w:sz="0" w:space="0" w:color="auto"/>
                  </w:divBdr>
                </w:div>
              </w:divsChild>
            </w:div>
            <w:div w:id="1696006277">
              <w:marLeft w:val="0"/>
              <w:marRight w:val="0"/>
              <w:marTop w:val="0"/>
              <w:marBottom w:val="0"/>
              <w:divBdr>
                <w:top w:val="none" w:sz="0" w:space="0" w:color="auto"/>
                <w:left w:val="none" w:sz="0" w:space="0" w:color="auto"/>
                <w:bottom w:val="none" w:sz="0" w:space="0" w:color="auto"/>
                <w:right w:val="none" w:sz="0" w:space="0" w:color="auto"/>
              </w:divBdr>
              <w:divsChild>
                <w:div w:id="1800343792">
                  <w:marLeft w:val="0"/>
                  <w:marRight w:val="0"/>
                  <w:marTop w:val="0"/>
                  <w:marBottom w:val="0"/>
                  <w:divBdr>
                    <w:top w:val="none" w:sz="0" w:space="0" w:color="auto"/>
                    <w:left w:val="none" w:sz="0" w:space="0" w:color="auto"/>
                    <w:bottom w:val="none" w:sz="0" w:space="0" w:color="auto"/>
                    <w:right w:val="none" w:sz="0" w:space="0" w:color="auto"/>
                  </w:divBdr>
                </w:div>
                <w:div w:id="1353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22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uinsi.ac.id/index.php/bjpe/index" TargetMode="External"/><Relationship Id="rId13" Type="http://schemas.openxmlformats.org/officeDocument/2006/relationships/hyperlink" Target="file:///D:\JURNAL%20BJPE\Vol%206%20No%20Juni%202026\Hanapi\ilyasrozakhanafi@gmail.co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asbullah@umpri.ac.i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yasrozakhanafi@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uinsi.ac.id/index.php/bjpe/inde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EAD0E6-7E68-4419-BBBB-2DA819A8A4D7}">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chicago-author-date&quot;,&quot;title&quot;:&quot;Chicago Manual of Style 18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AB2AFB1-D8A4-41F2-8353-466E5394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7677</Words>
  <Characters>43763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anonim</cp:lastModifiedBy>
  <cp:revision>2</cp:revision>
  <dcterms:created xsi:type="dcterms:W3CDTF">2026-10-24T03:35:00Z</dcterms:created>
  <dcterms:modified xsi:type="dcterms:W3CDTF">2026-10-24T03:35:00Z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817e82a125a8fd6a7ce3ab06ba9ca9e413d37dc8ad35fb2ab33ebafa07f01c10</vt:lpwstr>
  </property>
  <property fmtid="{D5CDD505-2E9C-101B-9397-08002B2CF9AE}" pid="3" name="ZOTERO_PREF_1">
    <vt:lpwstr>&lt;data data-version="3" zotero-version="6.0.36"&gt;&lt;session id="0i9Ho4Ux"/&gt;&lt;style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